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7C77" w14:textId="77777777" w:rsidR="003D2E40" w:rsidRPr="00E372A8" w:rsidRDefault="003D2E40"/>
    <w:p w14:paraId="5EA56DC4" w14:textId="02973676" w:rsidR="002B31E7" w:rsidRPr="00E372A8" w:rsidRDefault="002B31E7" w:rsidP="009412F5">
      <w:pPr>
        <w:jc w:val="center"/>
        <w:sectPr w:rsidR="002B31E7" w:rsidRPr="00E372A8" w:rsidSect="00DB3EF9">
          <w:headerReference w:type="first" r:id="rId7"/>
          <w:footerReference w:type="first" r:id="rId8"/>
          <w:pgSz w:w="12240" w:h="15840"/>
          <w:pgMar w:top="3600" w:right="1440" w:bottom="1152" w:left="1440" w:header="720" w:footer="576" w:gutter="0"/>
          <w:cols w:space="720"/>
          <w:titlePg/>
        </w:sectPr>
      </w:pPr>
    </w:p>
    <w:p w14:paraId="2D87672A" w14:textId="4BC5E8E9" w:rsidR="009412F5" w:rsidRPr="00E372A8" w:rsidRDefault="009412F5" w:rsidP="009412F5">
      <w:pPr>
        <w:jc w:val="center"/>
        <w:rPr>
          <w:b/>
          <w:sz w:val="40"/>
          <w:szCs w:val="40"/>
        </w:rPr>
      </w:pPr>
      <w:r w:rsidRPr="00E372A8">
        <w:rPr>
          <w:b/>
          <w:sz w:val="40"/>
          <w:szCs w:val="40"/>
        </w:rPr>
        <w:lastRenderedPageBreak/>
        <w:t xml:space="preserve">GUIDANCE TO THE PUBLIC ON OBLIGATIONS AND RIGHTS IN RESPECT OF </w:t>
      </w:r>
      <w:r w:rsidR="00D24C20" w:rsidRPr="00E372A8">
        <w:rPr>
          <w:b/>
          <w:sz w:val="40"/>
          <w:szCs w:val="40"/>
        </w:rPr>
        <w:t>ANTI-TERRORISM</w:t>
      </w:r>
    </w:p>
    <w:p w14:paraId="3E8D7D97" w14:textId="77777777" w:rsidR="009412F5" w:rsidRPr="00E372A8" w:rsidRDefault="009412F5" w:rsidP="009412F5"/>
    <w:p w14:paraId="5517E0B2" w14:textId="77777777" w:rsidR="009412F5" w:rsidRPr="00E372A8" w:rsidRDefault="009412F5" w:rsidP="009412F5">
      <w:pPr>
        <w:jc w:val="both"/>
        <w:rPr>
          <w:b/>
        </w:rPr>
      </w:pPr>
      <w:r w:rsidRPr="00E372A8">
        <w:rPr>
          <w:b/>
        </w:rPr>
        <w:t>INTRODUCTION</w:t>
      </w:r>
    </w:p>
    <w:p w14:paraId="1013FA83" w14:textId="08779A24" w:rsidR="009412F5" w:rsidRPr="00E372A8" w:rsidRDefault="009412F5" w:rsidP="009412F5">
      <w:pPr>
        <w:jc w:val="both"/>
      </w:pPr>
      <w:r w:rsidRPr="00E372A8">
        <w:t xml:space="preserve">This document is intended to </w:t>
      </w:r>
      <w:r w:rsidR="00195854">
        <w:t>guide</w:t>
      </w:r>
      <w:r w:rsidR="00195854" w:rsidRPr="00E372A8">
        <w:t xml:space="preserve"> </w:t>
      </w:r>
      <w:r w:rsidRPr="00E372A8">
        <w:t xml:space="preserve">members of the public in understanding their obligations and rights </w:t>
      </w:r>
      <w:r w:rsidR="0037796A" w:rsidRPr="00E372A8">
        <w:t>pursuant to the Anti-Terrorism Act, Chap. 12:07.</w:t>
      </w:r>
    </w:p>
    <w:p w14:paraId="697E3201" w14:textId="77777777" w:rsidR="009412F5" w:rsidRPr="00E372A8" w:rsidRDefault="009412F5" w:rsidP="009412F5">
      <w:pPr>
        <w:jc w:val="both"/>
      </w:pPr>
    </w:p>
    <w:p w14:paraId="295135F8" w14:textId="77777777" w:rsidR="009412F5" w:rsidRPr="00E372A8" w:rsidRDefault="009412F5" w:rsidP="009412F5">
      <w:pPr>
        <w:jc w:val="both"/>
        <w:rPr>
          <w:b/>
        </w:rPr>
      </w:pPr>
      <w:r w:rsidRPr="00E372A8">
        <w:rPr>
          <w:b/>
        </w:rPr>
        <w:t>THE LAW</w:t>
      </w:r>
    </w:p>
    <w:p w14:paraId="3491B102" w14:textId="53D22B85" w:rsidR="00C34D2F" w:rsidRPr="00E372A8" w:rsidRDefault="00C34D2F" w:rsidP="009412F5">
      <w:pPr>
        <w:jc w:val="both"/>
      </w:pPr>
      <w:r w:rsidRPr="00E372A8">
        <w:t xml:space="preserve">The Anti-Terrorism Act, Chap. 12:07 </w:t>
      </w:r>
      <w:r w:rsidR="00AB63C3" w:rsidRPr="00E372A8">
        <w:t xml:space="preserve">(“the Act”) </w:t>
      </w:r>
      <w:r w:rsidRPr="00E372A8">
        <w:t xml:space="preserve">was enacted on September 13, 2005. </w:t>
      </w:r>
    </w:p>
    <w:p w14:paraId="564871A6" w14:textId="343CD1A2" w:rsidR="00C34D2F" w:rsidRPr="00E372A8" w:rsidRDefault="00C34D2F" w:rsidP="009412F5">
      <w:pPr>
        <w:jc w:val="both"/>
      </w:pPr>
    </w:p>
    <w:p w14:paraId="768822CE" w14:textId="41D0309E" w:rsidR="002A6D9F" w:rsidRDefault="002A6D9F" w:rsidP="009412F5">
      <w:pPr>
        <w:jc w:val="both"/>
        <w:rPr>
          <w:bCs/>
          <w:lang w:val="en-TT"/>
        </w:rPr>
      </w:pPr>
      <w:r w:rsidRPr="00E372A8">
        <w:rPr>
          <w:bCs/>
          <w:lang w:val="en-TT"/>
        </w:rPr>
        <w:t>The Act aim</w:t>
      </w:r>
      <w:r w:rsidR="004E392B">
        <w:rPr>
          <w:bCs/>
          <w:lang w:val="en-TT"/>
        </w:rPr>
        <w:t>s</w:t>
      </w:r>
      <w:r w:rsidRPr="00E372A8">
        <w:rPr>
          <w:bCs/>
          <w:lang w:val="en-TT"/>
        </w:rPr>
        <w:t xml:space="preserve"> to </w:t>
      </w:r>
      <w:r>
        <w:rPr>
          <w:bCs/>
          <w:lang w:val="en-TT"/>
        </w:rPr>
        <w:t xml:space="preserve">protect </w:t>
      </w:r>
      <w:r w:rsidR="004E392B">
        <w:rPr>
          <w:bCs/>
          <w:lang w:val="en-TT"/>
        </w:rPr>
        <w:t>all</w:t>
      </w:r>
      <w:r>
        <w:rPr>
          <w:bCs/>
          <w:lang w:val="en-TT"/>
        </w:rPr>
        <w:t xml:space="preserve"> citizens of Trinidad and Tobago and the international community from the evolving threats posed by terrorist actors. These provisions also </w:t>
      </w:r>
      <w:r w:rsidR="004843B4">
        <w:rPr>
          <w:bCs/>
          <w:lang w:val="en-TT"/>
        </w:rPr>
        <w:t xml:space="preserve">serve to </w:t>
      </w:r>
      <w:r w:rsidRPr="00E372A8">
        <w:t xml:space="preserve">fulfill </w:t>
      </w:r>
      <w:r>
        <w:t>the country’s</w:t>
      </w:r>
      <w:r w:rsidRPr="00E372A8">
        <w:t xml:space="preserve"> international obligations relative to </w:t>
      </w:r>
      <w:r w:rsidR="004843B4">
        <w:t>the</w:t>
      </w:r>
      <w:r w:rsidRPr="00E372A8">
        <w:t xml:space="preserve"> United Nations Security Council and the Financial Action Task Force.</w:t>
      </w:r>
    </w:p>
    <w:p w14:paraId="413D4234" w14:textId="77777777" w:rsidR="002A6D9F" w:rsidRDefault="002A6D9F" w:rsidP="009412F5">
      <w:pPr>
        <w:jc w:val="both"/>
        <w:rPr>
          <w:bCs/>
          <w:lang w:val="en-TT"/>
        </w:rPr>
      </w:pPr>
    </w:p>
    <w:p w14:paraId="1849AF01" w14:textId="1A4195A3" w:rsidR="009412F5" w:rsidRPr="00E372A8" w:rsidRDefault="009412F5" w:rsidP="009412F5">
      <w:pPr>
        <w:jc w:val="both"/>
      </w:pPr>
      <w:r w:rsidRPr="00E372A8">
        <w:t xml:space="preserve">It is important to note that </w:t>
      </w:r>
      <w:r w:rsidRPr="00E372A8">
        <w:rPr>
          <w:b/>
          <w:u w:val="single"/>
        </w:rPr>
        <w:t xml:space="preserve">there are obligations under the </w:t>
      </w:r>
      <w:r w:rsidR="00562BE7" w:rsidRPr="00E372A8">
        <w:rPr>
          <w:b/>
          <w:u w:val="single"/>
        </w:rPr>
        <w:t>Act which</w:t>
      </w:r>
      <w:r w:rsidRPr="00E372A8">
        <w:rPr>
          <w:b/>
          <w:u w:val="single"/>
        </w:rPr>
        <w:t xml:space="preserve"> ap</w:t>
      </w:r>
      <w:r w:rsidR="00562BE7" w:rsidRPr="00E372A8">
        <w:rPr>
          <w:b/>
          <w:u w:val="single"/>
        </w:rPr>
        <w:t>ply to all members of the public</w:t>
      </w:r>
      <w:r w:rsidRPr="00E372A8">
        <w:t xml:space="preserve">. The </w:t>
      </w:r>
      <w:r w:rsidR="00562BE7" w:rsidRPr="00E372A8">
        <w:t xml:space="preserve">Act establishes restrictions on certain transactions with </w:t>
      </w:r>
      <w:r w:rsidR="009A2E4D">
        <w:t>“</w:t>
      </w:r>
      <w:r w:rsidR="00562BE7" w:rsidRPr="00E372A8">
        <w:t>listed entities</w:t>
      </w:r>
      <w:r w:rsidR="009A2E4D">
        <w:t>”</w:t>
      </w:r>
      <w:r w:rsidR="00562BE7" w:rsidRPr="00E372A8">
        <w:t xml:space="preserve"> obligations in relation to travel to specified areas and duties on all persons to disclose information in respect of terrorist acts and/or transactions. </w:t>
      </w:r>
    </w:p>
    <w:p w14:paraId="6F4C6A5D" w14:textId="6199555D" w:rsidR="009412F5" w:rsidRPr="00E372A8" w:rsidRDefault="009412F5" w:rsidP="009412F5">
      <w:pPr>
        <w:jc w:val="both"/>
      </w:pPr>
    </w:p>
    <w:p w14:paraId="526CBA0F" w14:textId="77777777" w:rsidR="009412F5" w:rsidRPr="00E372A8" w:rsidRDefault="009412F5" w:rsidP="009412F5">
      <w:pPr>
        <w:jc w:val="both"/>
      </w:pPr>
    </w:p>
    <w:p w14:paraId="5DCB8890" w14:textId="4B863673" w:rsidR="009412F5" w:rsidRPr="00E372A8" w:rsidRDefault="009412F5" w:rsidP="009412F5">
      <w:pPr>
        <w:jc w:val="both"/>
        <w:rPr>
          <w:b/>
        </w:rPr>
      </w:pPr>
      <w:r w:rsidRPr="00E372A8">
        <w:rPr>
          <w:b/>
        </w:rPr>
        <w:t xml:space="preserve">WHAT </w:t>
      </w:r>
      <w:r w:rsidR="0023257A" w:rsidRPr="00E372A8">
        <w:rPr>
          <w:b/>
        </w:rPr>
        <w:t>IS THE PURPOSE OF THE ACT?</w:t>
      </w:r>
    </w:p>
    <w:p w14:paraId="16A29AC4" w14:textId="2962048A" w:rsidR="0023257A" w:rsidRPr="00E372A8" w:rsidRDefault="00A256FE" w:rsidP="009412F5">
      <w:pPr>
        <w:jc w:val="both"/>
      </w:pPr>
      <w:r>
        <w:t>T</w:t>
      </w:r>
      <w:r w:rsidR="0023257A" w:rsidRPr="00E372A8">
        <w:t xml:space="preserve">he primary purpose of the </w:t>
      </w:r>
      <w:r w:rsidR="00700B38">
        <w:t>A</w:t>
      </w:r>
      <w:r w:rsidR="0023257A" w:rsidRPr="00E372A8">
        <w:t xml:space="preserve">ct is to criminalise terrorism and the financing of terrorism. </w:t>
      </w:r>
      <w:r w:rsidR="000E01B0" w:rsidRPr="00E372A8">
        <w:t>In so doing, definition</w:t>
      </w:r>
      <w:r w:rsidR="009A2E4D">
        <w:t>s</w:t>
      </w:r>
      <w:r w:rsidR="000E01B0" w:rsidRPr="00E372A8">
        <w:t xml:space="preserve"> of key terms are established and offences </w:t>
      </w:r>
      <w:r>
        <w:t xml:space="preserve">are </w:t>
      </w:r>
      <w:r w:rsidR="000E01B0" w:rsidRPr="00E372A8">
        <w:t xml:space="preserve">provided for. Section 22B provides for the listing of terrorist </w:t>
      </w:r>
      <w:r w:rsidR="009A2E4D">
        <w:t xml:space="preserve">individuals </w:t>
      </w:r>
      <w:r w:rsidR="009A2E4D">
        <w:lastRenderedPageBreak/>
        <w:t xml:space="preserve">and </w:t>
      </w:r>
      <w:r w:rsidR="000E01B0" w:rsidRPr="00E372A8">
        <w:t>entities. Once an individual or entity is listed, the</w:t>
      </w:r>
      <w:r w:rsidR="009A2E4D">
        <w:t xml:space="preserve"> Act places restrictions on the</w:t>
      </w:r>
      <w:r w:rsidR="000E01B0" w:rsidRPr="00E372A8">
        <w:t xml:space="preserve"> public at large conducting </w:t>
      </w:r>
      <w:r w:rsidR="009A2E4D">
        <w:t>certain</w:t>
      </w:r>
      <w:r w:rsidR="009A2E4D" w:rsidRPr="00E372A8">
        <w:t xml:space="preserve"> </w:t>
      </w:r>
      <w:r w:rsidR="000E01B0" w:rsidRPr="00E372A8">
        <w:t>type</w:t>
      </w:r>
      <w:r w:rsidR="009A2E4D">
        <w:t>s</w:t>
      </w:r>
      <w:r w:rsidR="000E01B0" w:rsidRPr="00E372A8">
        <w:t xml:space="preserve"> of transactions with that person or entity. </w:t>
      </w:r>
    </w:p>
    <w:p w14:paraId="70E62CFB" w14:textId="77777777" w:rsidR="002D680C" w:rsidRPr="00E372A8" w:rsidRDefault="002D680C" w:rsidP="009412F5">
      <w:pPr>
        <w:jc w:val="both"/>
      </w:pPr>
    </w:p>
    <w:p w14:paraId="03BD59CD" w14:textId="77777777" w:rsidR="0023257A" w:rsidRPr="00E372A8" w:rsidRDefault="0023257A" w:rsidP="009412F5">
      <w:pPr>
        <w:jc w:val="both"/>
      </w:pPr>
    </w:p>
    <w:p w14:paraId="7315C83A" w14:textId="77777777" w:rsidR="009412F5" w:rsidRPr="00E372A8" w:rsidRDefault="009412F5" w:rsidP="009412F5">
      <w:pPr>
        <w:jc w:val="both"/>
      </w:pPr>
    </w:p>
    <w:p w14:paraId="25AF3ED3" w14:textId="122ABD94" w:rsidR="009412F5" w:rsidRPr="00E372A8" w:rsidRDefault="009412F5" w:rsidP="009412F5">
      <w:pPr>
        <w:jc w:val="both"/>
        <w:rPr>
          <w:b/>
        </w:rPr>
      </w:pPr>
      <w:r w:rsidRPr="00E372A8">
        <w:rPr>
          <w:b/>
        </w:rPr>
        <w:t>WHO ARE LISTED ENTITIES?</w:t>
      </w:r>
    </w:p>
    <w:p w14:paraId="626A143B" w14:textId="34C9C60F" w:rsidR="002D680C" w:rsidRPr="00E372A8" w:rsidRDefault="00A256FE" w:rsidP="002D680C">
      <w:pPr>
        <w:jc w:val="both"/>
        <w:rPr>
          <w:lang w:val="en-TT"/>
        </w:rPr>
      </w:pPr>
      <w:r>
        <w:rPr>
          <w:lang w:val="en-TT"/>
        </w:rPr>
        <w:t>T</w:t>
      </w:r>
      <w:r w:rsidR="002D680C" w:rsidRPr="00E372A8">
        <w:rPr>
          <w:lang w:val="en-TT"/>
        </w:rPr>
        <w:t>he Act defines “</w:t>
      </w:r>
      <w:r w:rsidR="002D680C" w:rsidRPr="00E372A8">
        <w:rPr>
          <w:i/>
          <w:u w:val="single"/>
          <w:lang w:val="en-TT"/>
        </w:rPr>
        <w:t>listed entity</w:t>
      </w:r>
      <w:r w:rsidR="002D680C" w:rsidRPr="00E372A8">
        <w:rPr>
          <w:lang w:val="en-TT"/>
        </w:rPr>
        <w:t xml:space="preserve">” as an entity declared to be a listed entity in accordance with section 22B. Section 22B </w:t>
      </w:r>
      <w:r w:rsidR="004A527F">
        <w:rPr>
          <w:lang w:val="en-TT"/>
        </w:rPr>
        <w:t>sets out</w:t>
      </w:r>
      <w:r w:rsidR="004A527F" w:rsidRPr="00E372A8">
        <w:rPr>
          <w:lang w:val="en-TT"/>
        </w:rPr>
        <w:t xml:space="preserve"> </w:t>
      </w:r>
      <w:r w:rsidR="002D680C" w:rsidRPr="00E372A8">
        <w:rPr>
          <w:lang w:val="en-TT"/>
        </w:rPr>
        <w:t xml:space="preserve">the </w:t>
      </w:r>
      <w:r>
        <w:rPr>
          <w:lang w:val="en-TT"/>
        </w:rPr>
        <w:t xml:space="preserve">following </w:t>
      </w:r>
      <w:r w:rsidR="002D680C" w:rsidRPr="00E372A8">
        <w:rPr>
          <w:lang w:val="en-TT"/>
        </w:rPr>
        <w:t xml:space="preserve">circumstances under which </w:t>
      </w:r>
      <w:r w:rsidR="009A2E4D">
        <w:rPr>
          <w:lang w:val="en-TT"/>
        </w:rPr>
        <w:t xml:space="preserve">the High Court may designate a person or entity </w:t>
      </w:r>
      <w:r w:rsidR="004A527F">
        <w:rPr>
          <w:lang w:val="en-TT"/>
        </w:rPr>
        <w:t xml:space="preserve">as a </w:t>
      </w:r>
      <w:r w:rsidR="002D680C" w:rsidRPr="00E372A8">
        <w:rPr>
          <w:lang w:val="en-TT"/>
        </w:rPr>
        <w:t>listed entity:</w:t>
      </w:r>
    </w:p>
    <w:p w14:paraId="09E0DE34" w14:textId="77777777" w:rsidR="00770F6F" w:rsidRPr="00E372A8" w:rsidRDefault="00770F6F" w:rsidP="00770F6F">
      <w:pPr>
        <w:jc w:val="both"/>
        <w:rPr>
          <w:lang w:val="en-TT"/>
        </w:rPr>
      </w:pPr>
    </w:p>
    <w:p w14:paraId="50EEF1E4" w14:textId="6C4F1395" w:rsidR="00770F6F" w:rsidRPr="00E372A8" w:rsidRDefault="00770F6F" w:rsidP="00770F6F">
      <w:pPr>
        <w:pStyle w:val="ListParagraph"/>
        <w:numPr>
          <w:ilvl w:val="0"/>
          <w:numId w:val="7"/>
        </w:numPr>
        <w:autoSpaceDE w:val="0"/>
        <w:autoSpaceDN w:val="0"/>
        <w:adjustRightInd w:val="0"/>
        <w:jc w:val="both"/>
        <w:rPr>
          <w:rFonts w:ascii="Times New Roman" w:hAnsi="Times New Roman" w:cs="Times New Roman"/>
          <w:lang w:val="en-TT" w:eastAsia="ja-JP"/>
        </w:rPr>
      </w:pPr>
      <w:r w:rsidRPr="00E372A8">
        <w:rPr>
          <w:rFonts w:ascii="Times New Roman" w:hAnsi="Times New Roman" w:cs="Times New Roman"/>
          <w:lang w:val="en-TT"/>
        </w:rPr>
        <w:t>Where an individual of entity is a</w:t>
      </w:r>
      <w:r w:rsidR="002D680C" w:rsidRPr="00E372A8">
        <w:rPr>
          <w:rFonts w:ascii="Times New Roman" w:hAnsi="Times New Roman" w:cs="Times New Roman"/>
          <w:lang w:val="en-TT" w:eastAsia="ja-JP"/>
        </w:rPr>
        <w:t xml:space="preserve"> </w:t>
      </w:r>
      <w:r w:rsidR="004A527F">
        <w:rPr>
          <w:rFonts w:ascii="Times New Roman" w:hAnsi="Times New Roman" w:cs="Times New Roman"/>
          <w:lang w:val="en-TT" w:eastAsia="ja-JP"/>
        </w:rPr>
        <w:t>“</w:t>
      </w:r>
      <w:r w:rsidR="002D680C" w:rsidRPr="00E372A8">
        <w:rPr>
          <w:rFonts w:ascii="Times New Roman" w:hAnsi="Times New Roman" w:cs="Times New Roman"/>
          <w:lang w:val="en-TT" w:eastAsia="ja-JP"/>
        </w:rPr>
        <w:t>designated entity</w:t>
      </w:r>
      <w:r w:rsidR="004A527F">
        <w:rPr>
          <w:rFonts w:ascii="Times New Roman" w:hAnsi="Times New Roman" w:cs="Times New Roman"/>
          <w:lang w:val="en-TT" w:eastAsia="ja-JP"/>
        </w:rPr>
        <w:t xml:space="preserve">.” The Act defines a designated entity as </w:t>
      </w:r>
      <w:r w:rsidRPr="00E372A8">
        <w:rPr>
          <w:rFonts w:ascii="Times New Roman" w:hAnsi="Times New Roman" w:cs="Times New Roman"/>
          <w:lang w:val="en-TT" w:eastAsia="ja-JP"/>
        </w:rPr>
        <w:t xml:space="preserve"> an individual or entity and their associates designated as terrorist entities by the </w:t>
      </w:r>
      <w:r w:rsidR="00A256FE">
        <w:rPr>
          <w:rFonts w:ascii="Times New Roman" w:hAnsi="Times New Roman" w:cs="Times New Roman"/>
          <w:lang w:val="en-TT" w:eastAsia="ja-JP"/>
        </w:rPr>
        <w:t xml:space="preserve">United Nations </w:t>
      </w:r>
      <w:r w:rsidRPr="00E372A8">
        <w:rPr>
          <w:rFonts w:ascii="Times New Roman" w:hAnsi="Times New Roman" w:cs="Times New Roman"/>
          <w:lang w:val="en-TT" w:eastAsia="ja-JP"/>
        </w:rPr>
        <w:t>Security Council, the 1267, 1989 and 2253 Committee or the 1988 Committee;</w:t>
      </w:r>
    </w:p>
    <w:p w14:paraId="2D18BC75" w14:textId="05E36CB7" w:rsidR="002D680C" w:rsidRPr="00E372A8" w:rsidRDefault="002D680C" w:rsidP="00770F6F">
      <w:pPr>
        <w:pStyle w:val="ListParagraph"/>
        <w:numPr>
          <w:ilvl w:val="0"/>
          <w:numId w:val="7"/>
        </w:numPr>
        <w:jc w:val="both"/>
        <w:rPr>
          <w:rFonts w:ascii="Times New Roman" w:hAnsi="Times New Roman" w:cs="Times New Roman"/>
          <w:lang w:val="en-TT"/>
        </w:rPr>
      </w:pPr>
      <w:r w:rsidRPr="00E372A8">
        <w:rPr>
          <w:rFonts w:ascii="Times New Roman" w:hAnsi="Times New Roman" w:cs="Times New Roman"/>
          <w:i/>
          <w:iCs/>
          <w:lang w:val="en-TT" w:eastAsia="ja-JP"/>
        </w:rPr>
        <w:t xml:space="preserve"> </w:t>
      </w:r>
      <w:r w:rsidRPr="00E372A8">
        <w:rPr>
          <w:rFonts w:ascii="Times New Roman" w:hAnsi="Times New Roman" w:cs="Times New Roman"/>
          <w:lang w:val="en-TT" w:eastAsia="ja-JP"/>
        </w:rPr>
        <w:t>an entity or individual, where there are</w:t>
      </w:r>
      <w:r w:rsidR="00770F6F" w:rsidRPr="00E372A8">
        <w:rPr>
          <w:rFonts w:ascii="Times New Roman" w:hAnsi="Times New Roman" w:cs="Times New Roman"/>
          <w:lang w:val="en-TT" w:eastAsia="ja-JP"/>
        </w:rPr>
        <w:t xml:space="preserve"> </w:t>
      </w:r>
      <w:r w:rsidRPr="00E372A8">
        <w:rPr>
          <w:rFonts w:ascii="Times New Roman" w:hAnsi="Times New Roman" w:cs="Times New Roman"/>
          <w:lang w:val="en-TT" w:eastAsia="ja-JP"/>
        </w:rPr>
        <w:t>reasonable grounds to believe that the</w:t>
      </w:r>
      <w:r w:rsidR="00770F6F" w:rsidRPr="00E372A8">
        <w:rPr>
          <w:rFonts w:ascii="Times New Roman" w:hAnsi="Times New Roman" w:cs="Times New Roman"/>
          <w:lang w:val="en-TT" w:eastAsia="ja-JP"/>
        </w:rPr>
        <w:t xml:space="preserve"> </w:t>
      </w:r>
      <w:r w:rsidRPr="00E372A8">
        <w:rPr>
          <w:rFonts w:ascii="Times New Roman" w:hAnsi="Times New Roman" w:cs="Times New Roman"/>
          <w:lang w:val="en-TT" w:eastAsia="ja-JP"/>
        </w:rPr>
        <w:t>individual or entity—</w:t>
      </w:r>
    </w:p>
    <w:p w14:paraId="4FBB4DD7" w14:textId="72AC6653" w:rsidR="002D680C" w:rsidRPr="00E372A8" w:rsidRDefault="002D680C" w:rsidP="00770F6F">
      <w:pPr>
        <w:autoSpaceDE w:val="0"/>
        <w:autoSpaceDN w:val="0"/>
        <w:adjustRightInd w:val="0"/>
        <w:ind w:left="2160"/>
        <w:jc w:val="both"/>
        <w:rPr>
          <w:lang w:val="en-TT" w:eastAsia="ja-JP"/>
        </w:rPr>
      </w:pPr>
      <w:r w:rsidRPr="00E372A8">
        <w:rPr>
          <w:lang w:val="en-TT" w:eastAsia="ja-JP"/>
        </w:rPr>
        <w:t>(i) has knowingly committed or participated</w:t>
      </w:r>
      <w:r w:rsidR="00770F6F" w:rsidRPr="00E372A8">
        <w:rPr>
          <w:lang w:val="en-TT" w:eastAsia="ja-JP"/>
        </w:rPr>
        <w:t xml:space="preserve"> </w:t>
      </w:r>
      <w:r w:rsidRPr="00E372A8">
        <w:rPr>
          <w:lang w:val="en-TT" w:eastAsia="ja-JP"/>
        </w:rPr>
        <w:t>in, or facilitated the commission of a</w:t>
      </w:r>
      <w:r w:rsidR="00770F6F" w:rsidRPr="00E372A8">
        <w:rPr>
          <w:lang w:val="en-TT" w:eastAsia="ja-JP"/>
        </w:rPr>
        <w:t xml:space="preserve"> </w:t>
      </w:r>
      <w:r w:rsidRPr="00E372A8">
        <w:rPr>
          <w:lang w:val="en-TT" w:eastAsia="ja-JP"/>
        </w:rPr>
        <w:t>terrorist act; or</w:t>
      </w:r>
    </w:p>
    <w:p w14:paraId="6BDEA399" w14:textId="188ECFC0" w:rsidR="002D680C" w:rsidRPr="00E372A8" w:rsidRDefault="002D680C" w:rsidP="00770F6F">
      <w:pPr>
        <w:autoSpaceDE w:val="0"/>
        <w:autoSpaceDN w:val="0"/>
        <w:adjustRightInd w:val="0"/>
        <w:ind w:left="2160"/>
        <w:jc w:val="both"/>
        <w:rPr>
          <w:lang w:val="en-TT" w:eastAsia="ja-JP"/>
        </w:rPr>
      </w:pPr>
      <w:r w:rsidRPr="00E372A8">
        <w:rPr>
          <w:lang w:val="en-TT" w:eastAsia="ja-JP"/>
        </w:rPr>
        <w:t>(ii) is knowingly acting on behalf of, or at the</w:t>
      </w:r>
      <w:r w:rsidR="00770F6F" w:rsidRPr="00E372A8">
        <w:rPr>
          <w:lang w:val="en-TT" w:eastAsia="ja-JP"/>
        </w:rPr>
        <w:t xml:space="preserve"> </w:t>
      </w:r>
      <w:r w:rsidRPr="00E372A8">
        <w:rPr>
          <w:lang w:val="en-TT" w:eastAsia="ja-JP"/>
        </w:rPr>
        <w:t>direction of, or in association with,</w:t>
      </w:r>
      <w:r w:rsidR="00770F6F" w:rsidRPr="00E372A8">
        <w:rPr>
          <w:lang w:val="en-TT" w:eastAsia="ja-JP"/>
        </w:rPr>
        <w:t xml:space="preserve"> a designated entity</w:t>
      </w:r>
      <w:r w:rsidRPr="00E372A8">
        <w:rPr>
          <w:lang w:val="en-TT" w:eastAsia="ja-JP"/>
        </w:rPr>
        <w:t>,</w:t>
      </w:r>
      <w:r w:rsidR="00770F6F" w:rsidRPr="00E372A8">
        <w:rPr>
          <w:lang w:val="en-TT" w:eastAsia="ja-JP"/>
        </w:rPr>
        <w:t xml:space="preserve"> an entity referred to in paragraph </w:t>
      </w:r>
      <w:r w:rsidRPr="00E372A8">
        <w:rPr>
          <w:lang w:val="en-TT" w:eastAsia="ja-JP"/>
        </w:rPr>
        <w:t>sub-paragraph (i), or a listed entity;</w:t>
      </w:r>
    </w:p>
    <w:p w14:paraId="06CEFBB8" w14:textId="3EDAC038" w:rsidR="002D680C" w:rsidRPr="00E372A8" w:rsidRDefault="002D680C" w:rsidP="00770F6F">
      <w:pPr>
        <w:autoSpaceDE w:val="0"/>
        <w:autoSpaceDN w:val="0"/>
        <w:adjustRightInd w:val="0"/>
        <w:ind w:left="2160"/>
        <w:jc w:val="both"/>
        <w:rPr>
          <w:lang w:val="en-TT" w:eastAsia="ja-JP"/>
        </w:rPr>
      </w:pPr>
      <w:r w:rsidRPr="00E372A8">
        <w:rPr>
          <w:lang w:val="en-TT" w:eastAsia="ja-JP"/>
        </w:rPr>
        <w:t>(iii) has knowingly committed an indictable</w:t>
      </w:r>
      <w:r w:rsidR="00770F6F" w:rsidRPr="00E372A8">
        <w:rPr>
          <w:lang w:val="en-TT" w:eastAsia="ja-JP"/>
        </w:rPr>
        <w:t xml:space="preserve"> </w:t>
      </w:r>
      <w:r w:rsidRPr="00E372A8">
        <w:rPr>
          <w:lang w:val="en-TT" w:eastAsia="ja-JP"/>
        </w:rPr>
        <w:t>offence for the benefit of, or in</w:t>
      </w:r>
      <w:r w:rsidR="00770F6F" w:rsidRPr="00E372A8">
        <w:rPr>
          <w:lang w:val="en-TT" w:eastAsia="ja-JP"/>
        </w:rPr>
        <w:t xml:space="preserve"> </w:t>
      </w:r>
      <w:r w:rsidRPr="00E372A8">
        <w:rPr>
          <w:lang w:val="en-TT" w:eastAsia="ja-JP"/>
        </w:rPr>
        <w:t>association with—</w:t>
      </w:r>
    </w:p>
    <w:p w14:paraId="11D1FF51" w14:textId="49D7ACE9" w:rsidR="002D680C" w:rsidRPr="00E372A8" w:rsidRDefault="002D680C" w:rsidP="00770F6F">
      <w:pPr>
        <w:pStyle w:val="ListParagraph"/>
        <w:numPr>
          <w:ilvl w:val="0"/>
          <w:numId w:val="6"/>
        </w:numPr>
        <w:ind w:left="2910"/>
        <w:jc w:val="both"/>
        <w:rPr>
          <w:rFonts w:ascii="Times New Roman" w:hAnsi="Times New Roman" w:cs="Times New Roman"/>
          <w:lang w:val="en-TT" w:eastAsia="ja-JP"/>
        </w:rPr>
      </w:pPr>
      <w:r w:rsidRPr="00E372A8">
        <w:rPr>
          <w:rFonts w:ascii="Times New Roman" w:hAnsi="Times New Roman" w:cs="Times New Roman"/>
          <w:lang w:val="en-TT" w:eastAsia="ja-JP"/>
        </w:rPr>
        <w:t>a terrorist;</w:t>
      </w:r>
    </w:p>
    <w:p w14:paraId="16C4E62E" w14:textId="77777777" w:rsidR="002D680C" w:rsidRPr="00E372A8" w:rsidRDefault="002D680C" w:rsidP="00770F6F">
      <w:pPr>
        <w:autoSpaceDE w:val="0"/>
        <w:autoSpaceDN w:val="0"/>
        <w:adjustRightInd w:val="0"/>
        <w:ind w:left="2520"/>
        <w:jc w:val="both"/>
        <w:rPr>
          <w:lang w:val="en-TT" w:eastAsia="ja-JP"/>
        </w:rPr>
      </w:pPr>
      <w:r w:rsidRPr="00E372A8">
        <w:rPr>
          <w:lang w:val="en-TT" w:eastAsia="ja-JP"/>
        </w:rPr>
        <w:t>(B) a terrorist organisation; or</w:t>
      </w:r>
    </w:p>
    <w:p w14:paraId="1ABF41D6" w14:textId="77777777" w:rsidR="002D680C" w:rsidRPr="00E372A8" w:rsidRDefault="002D680C" w:rsidP="00770F6F">
      <w:pPr>
        <w:autoSpaceDE w:val="0"/>
        <w:autoSpaceDN w:val="0"/>
        <w:adjustRightInd w:val="0"/>
        <w:ind w:left="2160" w:firstLine="360"/>
        <w:jc w:val="both"/>
        <w:rPr>
          <w:lang w:val="en-TT" w:eastAsia="ja-JP"/>
        </w:rPr>
      </w:pPr>
      <w:r w:rsidRPr="00E372A8">
        <w:rPr>
          <w:lang w:val="en-TT" w:eastAsia="ja-JP"/>
        </w:rPr>
        <w:t>(C) a listed entity; or</w:t>
      </w:r>
    </w:p>
    <w:p w14:paraId="56699A37" w14:textId="2D92915C" w:rsidR="002D680C" w:rsidRPr="00E372A8" w:rsidRDefault="002D680C" w:rsidP="00770F6F">
      <w:pPr>
        <w:pStyle w:val="ListParagraph"/>
        <w:numPr>
          <w:ilvl w:val="0"/>
          <w:numId w:val="7"/>
        </w:numPr>
        <w:autoSpaceDE w:val="0"/>
        <w:autoSpaceDN w:val="0"/>
        <w:adjustRightInd w:val="0"/>
        <w:jc w:val="both"/>
        <w:rPr>
          <w:rFonts w:ascii="Times New Roman" w:hAnsi="Times New Roman" w:cs="Times New Roman"/>
          <w:lang w:val="en-TT" w:eastAsia="ja-JP"/>
        </w:rPr>
      </w:pPr>
      <w:r w:rsidRPr="00E372A8">
        <w:rPr>
          <w:rFonts w:ascii="Times New Roman" w:hAnsi="Times New Roman" w:cs="Times New Roman"/>
          <w:lang w:val="en-TT" w:eastAsia="ja-JP"/>
        </w:rPr>
        <w:t>an entity owned or controlled directly or indirectly, by a listed entity.</w:t>
      </w:r>
    </w:p>
    <w:p w14:paraId="6B7D8802" w14:textId="6ADF46AB" w:rsidR="002D680C" w:rsidRPr="00E372A8" w:rsidRDefault="002D680C" w:rsidP="00770F6F">
      <w:pPr>
        <w:jc w:val="both"/>
        <w:rPr>
          <w:lang w:val="en-TT"/>
        </w:rPr>
      </w:pPr>
    </w:p>
    <w:p w14:paraId="2FF701FF" w14:textId="77777777" w:rsidR="009412F5" w:rsidRPr="00E372A8" w:rsidRDefault="009412F5" w:rsidP="009412F5">
      <w:pPr>
        <w:jc w:val="both"/>
      </w:pPr>
    </w:p>
    <w:p w14:paraId="5C6B289A" w14:textId="777F852A" w:rsidR="009412F5" w:rsidRPr="00E372A8" w:rsidRDefault="009412F5" w:rsidP="009412F5">
      <w:pPr>
        <w:jc w:val="both"/>
        <w:rPr>
          <w:b/>
        </w:rPr>
      </w:pPr>
      <w:r w:rsidRPr="00E372A8">
        <w:rPr>
          <w:b/>
        </w:rPr>
        <w:t>WHY ARE LISTED ENTITIES IMPORTANT?</w:t>
      </w:r>
    </w:p>
    <w:p w14:paraId="160174AA" w14:textId="273D7B8D" w:rsidR="009412F5" w:rsidRPr="004A527F" w:rsidRDefault="004A527F" w:rsidP="009412F5">
      <w:pPr>
        <w:jc w:val="both"/>
      </w:pPr>
      <w:r w:rsidRPr="004A527F">
        <w:t xml:space="preserve">When the High Court </w:t>
      </w:r>
      <w:r w:rsidR="00A256FE">
        <w:t>grants</w:t>
      </w:r>
      <w:r w:rsidRPr="004A527F">
        <w:t xml:space="preserve"> an Order designating an individual or entity as a listed entity, it also orders that the property of the listed entity be frozen. </w:t>
      </w:r>
      <w:r w:rsidR="009412F5" w:rsidRPr="004A527F">
        <w:t>The</w:t>
      </w:r>
      <w:r w:rsidR="00C35E3C" w:rsidRPr="004A527F">
        <w:t xml:space="preserve">reafter, </w:t>
      </w:r>
      <w:r w:rsidRPr="004A527F">
        <w:t xml:space="preserve">the Act </w:t>
      </w:r>
      <w:r w:rsidRPr="004B1E90">
        <w:t xml:space="preserve">prohibits members of the public from certain dealings </w:t>
      </w:r>
      <w:r w:rsidR="00A256FE">
        <w:t xml:space="preserve">and/or transactions </w:t>
      </w:r>
      <w:r w:rsidRPr="004B1E90">
        <w:t>with listed entities and their property.</w:t>
      </w:r>
      <w:r w:rsidRPr="004A527F">
        <w:t xml:space="preserve"> </w:t>
      </w:r>
      <w:r w:rsidR="00493C97">
        <w:t xml:space="preserve">[See guidance on </w:t>
      </w:r>
      <w:r w:rsidR="00700B38">
        <w:t>“W</w:t>
      </w:r>
      <w:r w:rsidR="00493C97">
        <w:t xml:space="preserve">hat does a Freezing Order </w:t>
      </w:r>
      <w:r w:rsidR="00700B38">
        <w:t>M</w:t>
      </w:r>
      <w:r w:rsidR="00493C97">
        <w:t>ean</w:t>
      </w:r>
      <w:r w:rsidR="00700B38">
        <w:t>”</w:t>
      </w:r>
      <w:r w:rsidR="00493C97">
        <w:t xml:space="preserve"> below]</w:t>
      </w:r>
    </w:p>
    <w:p w14:paraId="50E553A1" w14:textId="77777777" w:rsidR="009412F5" w:rsidRPr="00E372A8" w:rsidRDefault="009412F5" w:rsidP="009412F5">
      <w:pPr>
        <w:jc w:val="both"/>
      </w:pPr>
    </w:p>
    <w:p w14:paraId="08C63855" w14:textId="7CB99335" w:rsidR="009412F5" w:rsidRPr="00E372A8" w:rsidRDefault="009412F5" w:rsidP="009412F5">
      <w:pPr>
        <w:jc w:val="both"/>
        <w:rPr>
          <w:b/>
        </w:rPr>
      </w:pPr>
      <w:r w:rsidRPr="00E372A8">
        <w:rPr>
          <w:b/>
        </w:rPr>
        <w:lastRenderedPageBreak/>
        <w:t xml:space="preserve">HOW DO I KNOW IF THERE IS A FREEZING ORDER AGAINST A </w:t>
      </w:r>
      <w:r w:rsidR="00DB3D71">
        <w:rPr>
          <w:b/>
        </w:rPr>
        <w:t>PERSON OR</w:t>
      </w:r>
      <w:r w:rsidR="00DB3D71" w:rsidRPr="00E372A8">
        <w:rPr>
          <w:b/>
        </w:rPr>
        <w:t xml:space="preserve"> </w:t>
      </w:r>
      <w:r w:rsidRPr="00E372A8">
        <w:rPr>
          <w:b/>
        </w:rPr>
        <w:t>ENTITY?</w:t>
      </w:r>
    </w:p>
    <w:p w14:paraId="647C2C70" w14:textId="765140ED" w:rsidR="004A527F" w:rsidRDefault="00A256FE" w:rsidP="004A527F">
      <w:pPr>
        <w:jc w:val="both"/>
      </w:pPr>
      <w:r>
        <w:t>T</w:t>
      </w:r>
      <w:r w:rsidR="004A527F">
        <w:t xml:space="preserve">he Financial Intelligence Unit, Ministry of Finance and the Anti-Terrorism Unit, Ministry of the Attorney General and Legal Affairs </w:t>
      </w:r>
      <w:r>
        <w:t xml:space="preserve">both </w:t>
      </w:r>
      <w:r w:rsidR="004A527F">
        <w:t xml:space="preserve">maintain comprehensive lists of listed entities </w:t>
      </w:r>
      <w:r w:rsidR="00EC4237">
        <w:t xml:space="preserve">which are regularly reviewed </w:t>
      </w:r>
      <w:r w:rsidR="004A527F">
        <w:t>on their websites. These can be found at the following links:</w:t>
      </w:r>
    </w:p>
    <w:p w14:paraId="0AC19F6E" w14:textId="77777777" w:rsidR="004A527F" w:rsidRDefault="004A527F" w:rsidP="004A527F">
      <w:pPr>
        <w:jc w:val="both"/>
      </w:pPr>
    </w:p>
    <w:p w14:paraId="410DF12A" w14:textId="77777777" w:rsidR="004A527F" w:rsidRPr="00E372A8" w:rsidRDefault="004A527F" w:rsidP="004A527F">
      <w:pPr>
        <w:pStyle w:val="ListParagraph"/>
        <w:numPr>
          <w:ilvl w:val="0"/>
          <w:numId w:val="9"/>
        </w:numPr>
        <w:jc w:val="both"/>
      </w:pPr>
      <w:r>
        <w:t>Insert links here.</w:t>
      </w:r>
    </w:p>
    <w:p w14:paraId="511D5845" w14:textId="77777777" w:rsidR="004A527F" w:rsidRDefault="004A527F" w:rsidP="009412F5">
      <w:pPr>
        <w:jc w:val="both"/>
      </w:pPr>
    </w:p>
    <w:p w14:paraId="6DD02083" w14:textId="77777777" w:rsidR="004A527F" w:rsidRDefault="004A527F" w:rsidP="009412F5">
      <w:pPr>
        <w:jc w:val="both"/>
      </w:pPr>
    </w:p>
    <w:p w14:paraId="376BDD7C" w14:textId="4FF16004" w:rsidR="009412F5" w:rsidRPr="00E372A8" w:rsidRDefault="009412F5" w:rsidP="009412F5">
      <w:pPr>
        <w:jc w:val="both"/>
      </w:pPr>
      <w:r w:rsidRPr="00E372A8">
        <w:t xml:space="preserve">The Ministry of the Attorney General </w:t>
      </w:r>
      <w:r w:rsidR="004A527F">
        <w:t xml:space="preserve">also </w:t>
      </w:r>
      <w:r w:rsidRPr="00E372A8">
        <w:t xml:space="preserve">publishes on its website every order obtained from the High Court under the </w:t>
      </w:r>
      <w:r w:rsidR="002338F4" w:rsidRPr="00E372A8">
        <w:t>Act, in</w:t>
      </w:r>
      <w:r w:rsidRPr="00E372A8">
        <w:t xml:space="preserve"> respect of listed entities or related persons. This includes freezing orders, amendments to such orders and revocations of such orders. </w:t>
      </w:r>
      <w:r w:rsidR="00D04FE3">
        <w:t>E</w:t>
      </w:r>
      <w:r w:rsidRPr="00E372A8">
        <w:t xml:space="preserve">ach such order </w:t>
      </w:r>
      <w:r w:rsidR="00D04FE3">
        <w:t xml:space="preserve">is also published </w:t>
      </w:r>
      <w:r w:rsidRPr="00E372A8">
        <w:t xml:space="preserve">in the Gazette and two </w:t>
      </w:r>
      <w:r w:rsidR="002338F4" w:rsidRPr="00E372A8">
        <w:t>(2) daily</w:t>
      </w:r>
      <w:r w:rsidRPr="00E372A8">
        <w:t xml:space="preserve"> newspapers within seven (7) days of the order being granted</w:t>
      </w:r>
      <w:r w:rsidR="00D04FE3">
        <w:t xml:space="preserve"> by the High Court</w:t>
      </w:r>
      <w:r w:rsidRPr="00E372A8">
        <w:t>.</w:t>
      </w:r>
    </w:p>
    <w:p w14:paraId="146811CC" w14:textId="77777777" w:rsidR="002338F4" w:rsidRPr="00E372A8" w:rsidRDefault="002338F4" w:rsidP="009412F5">
      <w:pPr>
        <w:jc w:val="both"/>
      </w:pPr>
    </w:p>
    <w:p w14:paraId="401CB843" w14:textId="77777777" w:rsidR="009412F5" w:rsidRPr="00E372A8" w:rsidRDefault="009412F5" w:rsidP="009412F5">
      <w:pPr>
        <w:jc w:val="both"/>
      </w:pPr>
    </w:p>
    <w:p w14:paraId="29DFEA78" w14:textId="77777777" w:rsidR="002F64A4" w:rsidRPr="00E372A8" w:rsidRDefault="002F64A4" w:rsidP="009412F5">
      <w:pPr>
        <w:jc w:val="both"/>
        <w:rPr>
          <w:b/>
        </w:rPr>
      </w:pPr>
    </w:p>
    <w:p w14:paraId="18602E30" w14:textId="10010657" w:rsidR="009412F5" w:rsidRPr="00E372A8" w:rsidRDefault="009412F5" w:rsidP="009412F5">
      <w:pPr>
        <w:jc w:val="both"/>
        <w:rPr>
          <w:b/>
        </w:rPr>
      </w:pPr>
      <w:r w:rsidRPr="00E372A8">
        <w:rPr>
          <w:b/>
        </w:rPr>
        <w:t xml:space="preserve">HOW DO I PROPERLY IDENTIFY A PERSON </w:t>
      </w:r>
      <w:r w:rsidR="00DB3D71">
        <w:rPr>
          <w:b/>
        </w:rPr>
        <w:t xml:space="preserve">OR ENTITY </w:t>
      </w:r>
      <w:r w:rsidRPr="00E372A8">
        <w:rPr>
          <w:b/>
        </w:rPr>
        <w:t>IN A COURT ORDER OR A LISTED ENTITY?</w:t>
      </w:r>
    </w:p>
    <w:p w14:paraId="3CD8B0A5" w14:textId="74570C34" w:rsidR="009412F5" w:rsidRPr="00E372A8" w:rsidRDefault="009412F5" w:rsidP="009412F5">
      <w:pPr>
        <w:jc w:val="both"/>
      </w:pPr>
      <w:r w:rsidRPr="00E372A8">
        <w:t>The freezing order of the High Court is usually prepared containing as much identification information as is available in respect of the person</w:t>
      </w:r>
      <w:r w:rsidR="00DB3D71">
        <w:t xml:space="preserve"> or entity</w:t>
      </w:r>
      <w:r w:rsidRPr="00E372A8">
        <w:t xml:space="preserve"> against whom it has been made. This often includes names; aliases; dates of birth; place of birth; past and present addresses; passport, identification or driver’s licence numbers; and relationships to other listed entities or persons of interest. </w:t>
      </w:r>
    </w:p>
    <w:p w14:paraId="5FFD6F2C" w14:textId="77777777" w:rsidR="009412F5" w:rsidRPr="00E372A8" w:rsidRDefault="009412F5" w:rsidP="009412F5">
      <w:pPr>
        <w:jc w:val="both"/>
      </w:pPr>
    </w:p>
    <w:p w14:paraId="6DA4873E" w14:textId="0C72F412" w:rsidR="001B28AA" w:rsidRPr="00E372A8" w:rsidRDefault="009412F5" w:rsidP="009412F5">
      <w:pPr>
        <w:jc w:val="both"/>
      </w:pPr>
      <w:r w:rsidRPr="00E372A8">
        <w:t>Where the freezin</w:t>
      </w:r>
      <w:r w:rsidR="001B28AA" w:rsidRPr="00E372A8">
        <w:t xml:space="preserve">g order has been made against a </w:t>
      </w:r>
      <w:r w:rsidR="00DB3D71">
        <w:t>“</w:t>
      </w:r>
      <w:r w:rsidR="001B28AA" w:rsidRPr="00E372A8">
        <w:t>designated e</w:t>
      </w:r>
      <w:r w:rsidRPr="00E372A8">
        <w:t>ntity,</w:t>
      </w:r>
      <w:r w:rsidR="00DB3D71">
        <w:t>”</w:t>
      </w:r>
      <w:r w:rsidRPr="00E372A8">
        <w:t xml:space="preserve"> the order will include a unique </w:t>
      </w:r>
      <w:r w:rsidRPr="00E372A8">
        <w:rPr>
          <w:b/>
        </w:rPr>
        <w:t>permanent reference number</w:t>
      </w:r>
      <w:r w:rsidRPr="00E372A8">
        <w:t xml:space="preserve"> used by the United Nations </w:t>
      </w:r>
      <w:r w:rsidR="00315EE3">
        <w:t xml:space="preserve">Security Council </w:t>
      </w:r>
      <w:r w:rsidRPr="00E372A8">
        <w:t>to identify the listed entity.</w:t>
      </w:r>
      <w:r w:rsidR="001B28AA" w:rsidRPr="00E372A8">
        <w:t xml:space="preserve"> For example, in respect of the 1267 Sanctions List “QDi. 001” and for the 1988 Sanctions List</w:t>
      </w:r>
      <w:r w:rsidR="00AD0E2C" w:rsidRPr="00E372A8">
        <w:t xml:space="preserve"> “</w:t>
      </w:r>
      <w:r w:rsidR="00AD0E2C" w:rsidRPr="00E372A8">
        <w:rPr>
          <w:bCs/>
          <w:lang w:val="en-TT"/>
        </w:rPr>
        <w:t>TAi.002”</w:t>
      </w:r>
      <w:r w:rsidR="00AD0E2C" w:rsidRPr="00E372A8">
        <w:t>.</w:t>
      </w:r>
    </w:p>
    <w:p w14:paraId="22BFECFA" w14:textId="77777777" w:rsidR="009412F5" w:rsidRPr="00E372A8" w:rsidRDefault="009412F5" w:rsidP="009412F5">
      <w:pPr>
        <w:jc w:val="both"/>
      </w:pPr>
    </w:p>
    <w:p w14:paraId="37F2E6BF" w14:textId="57A381EE" w:rsidR="009412F5" w:rsidRPr="00E372A8" w:rsidRDefault="009412F5" w:rsidP="009412F5">
      <w:pPr>
        <w:jc w:val="both"/>
      </w:pPr>
      <w:r w:rsidRPr="00E372A8">
        <w:t xml:space="preserve">Members of the public should cross-reference the freezing order with </w:t>
      </w:r>
      <w:r w:rsidR="00AD0E2C" w:rsidRPr="00E372A8">
        <w:t>the pertinent</w:t>
      </w:r>
      <w:r w:rsidRPr="00E372A8">
        <w:t xml:space="preserve"> </w:t>
      </w:r>
      <w:r w:rsidR="00DB3D71">
        <w:t xml:space="preserve">United Nations Sanctions </w:t>
      </w:r>
      <w:r w:rsidRPr="00E372A8">
        <w:t>List</w:t>
      </w:r>
      <w:r w:rsidR="00AD0E2C" w:rsidRPr="00E372A8">
        <w:t>, where applicable,</w:t>
      </w:r>
      <w:r w:rsidRPr="00E372A8">
        <w:t xml:space="preserve"> to obtain the most up-to-date identifier information available. You can also contact the Anti-Terrorism Unit, Ministry of the Attorney General via the contact information below or the Financial Intelligence Unit if further clarification is needed.</w:t>
      </w:r>
    </w:p>
    <w:p w14:paraId="7C8B0280" w14:textId="77777777" w:rsidR="009412F5" w:rsidRPr="00E372A8" w:rsidRDefault="009412F5" w:rsidP="009412F5">
      <w:pPr>
        <w:jc w:val="both"/>
      </w:pPr>
    </w:p>
    <w:p w14:paraId="7BEBF5E3" w14:textId="6500CCB0" w:rsidR="009412F5" w:rsidRPr="00E372A8" w:rsidRDefault="009412F5" w:rsidP="009412F5">
      <w:pPr>
        <w:jc w:val="both"/>
        <w:rPr>
          <w:b/>
        </w:rPr>
      </w:pPr>
      <w:r w:rsidRPr="00E372A8">
        <w:rPr>
          <w:b/>
        </w:rPr>
        <w:t>WHAT DOES A FREEZING ORDER MEAN?</w:t>
      </w:r>
    </w:p>
    <w:p w14:paraId="2644FC61" w14:textId="79FD47FA" w:rsidR="009412F5" w:rsidRPr="00E372A8" w:rsidRDefault="009412F5" w:rsidP="009412F5">
      <w:pPr>
        <w:jc w:val="both"/>
      </w:pPr>
      <w:r w:rsidRPr="00E372A8">
        <w:t>A freezing order prevents any affected property from being sold, transferred or otherwise disposed of</w:t>
      </w:r>
      <w:r w:rsidR="00796C5A">
        <w:t xml:space="preserve"> by anyone</w:t>
      </w:r>
      <w:r w:rsidRPr="00E372A8">
        <w:t xml:space="preserve">. Money in bank accounts or accounts </w:t>
      </w:r>
      <w:r w:rsidR="00796C5A">
        <w:t xml:space="preserve">of a similar nature </w:t>
      </w:r>
      <w:r w:rsidRPr="00E372A8">
        <w:t>cannot be accessed unless specifically provided for by the Court. The Court may however order certain specific exceptions to cater for living expenses and other ordinary and extraordinary expenses. A listed entity against whom a freezing order has been made may contact the Anti-Terrorism Unit, Ministry of the Attorney General if such an exception is required.</w:t>
      </w:r>
    </w:p>
    <w:p w14:paraId="3F92D2E8" w14:textId="77777777" w:rsidR="009412F5" w:rsidRPr="00E372A8" w:rsidRDefault="009412F5" w:rsidP="009412F5">
      <w:pPr>
        <w:jc w:val="both"/>
      </w:pPr>
    </w:p>
    <w:p w14:paraId="7EB1D48F" w14:textId="370D681E" w:rsidR="009412F5" w:rsidRPr="00E372A8" w:rsidRDefault="009412F5" w:rsidP="009412F5">
      <w:pPr>
        <w:jc w:val="both"/>
        <w:rPr>
          <w:b/>
        </w:rPr>
      </w:pPr>
      <w:r w:rsidRPr="00E372A8">
        <w:rPr>
          <w:b/>
        </w:rPr>
        <w:t>WHAT PROPERTY IS COVERED BY A FREEZING ORDER?</w:t>
      </w:r>
    </w:p>
    <w:p w14:paraId="186007CA" w14:textId="37178F66" w:rsidR="00E372A8" w:rsidRPr="00E372A8" w:rsidRDefault="00E372A8" w:rsidP="009412F5">
      <w:pPr>
        <w:jc w:val="both"/>
      </w:pPr>
    </w:p>
    <w:p w14:paraId="1B82AC7E" w14:textId="182288BF" w:rsidR="00D80062" w:rsidRDefault="00D80062" w:rsidP="00E372A8">
      <w:pPr>
        <w:autoSpaceDE w:val="0"/>
        <w:autoSpaceDN w:val="0"/>
        <w:adjustRightInd w:val="0"/>
        <w:jc w:val="both"/>
      </w:pPr>
      <w:r>
        <w:rPr>
          <w:rFonts w:asciiTheme="minorHAnsi" w:hAnsiTheme="minorHAnsi" w:cstheme="minorHAnsi"/>
        </w:rPr>
        <w:t>All property of a listed entity is covered.</w:t>
      </w:r>
    </w:p>
    <w:p w14:paraId="7F2025A0" w14:textId="77777777" w:rsidR="00D80062" w:rsidRDefault="00D80062" w:rsidP="00E372A8">
      <w:pPr>
        <w:autoSpaceDE w:val="0"/>
        <w:autoSpaceDN w:val="0"/>
        <w:adjustRightInd w:val="0"/>
        <w:jc w:val="both"/>
      </w:pPr>
    </w:p>
    <w:p w14:paraId="1937353F" w14:textId="04BF2973" w:rsidR="00E372A8" w:rsidRPr="00E372A8" w:rsidRDefault="00E372A8" w:rsidP="00E372A8">
      <w:pPr>
        <w:autoSpaceDE w:val="0"/>
        <w:autoSpaceDN w:val="0"/>
        <w:adjustRightInd w:val="0"/>
        <w:jc w:val="both"/>
        <w:rPr>
          <w:lang w:val="en-TT" w:eastAsia="ja-JP"/>
        </w:rPr>
      </w:pPr>
      <w:r w:rsidRPr="00E372A8">
        <w:t xml:space="preserve">Section 22B of the Act provides that </w:t>
      </w:r>
      <w:r w:rsidR="00D80062">
        <w:t>a</w:t>
      </w:r>
      <w:r w:rsidRPr="00E372A8">
        <w:t xml:space="preserve"> Judge shall…</w:t>
      </w:r>
      <w:r w:rsidRPr="00E372A8">
        <w:rPr>
          <w:i/>
          <w:iCs/>
          <w:lang w:val="en-TT" w:eastAsia="ja-JP"/>
        </w:rPr>
        <w:t xml:space="preserve"> </w:t>
      </w:r>
      <w:r w:rsidRPr="00E372A8">
        <w:rPr>
          <w:lang w:val="en-TT" w:eastAsia="ja-JP"/>
        </w:rPr>
        <w:t>freeze the property—</w:t>
      </w:r>
    </w:p>
    <w:p w14:paraId="53E93E9D" w14:textId="49E4CBAF" w:rsidR="00E372A8" w:rsidRPr="00E372A8" w:rsidRDefault="00E372A8" w:rsidP="00E372A8">
      <w:pPr>
        <w:autoSpaceDE w:val="0"/>
        <w:autoSpaceDN w:val="0"/>
        <w:adjustRightInd w:val="0"/>
        <w:ind w:left="720"/>
        <w:jc w:val="both"/>
        <w:rPr>
          <w:lang w:val="en-TT" w:eastAsia="ja-JP"/>
        </w:rPr>
      </w:pPr>
      <w:r w:rsidRPr="00E372A8">
        <w:rPr>
          <w:lang w:val="en-TT" w:eastAsia="ja-JP"/>
        </w:rPr>
        <w:t>(i) that is owned or controlled by the listed entity;</w:t>
      </w:r>
    </w:p>
    <w:p w14:paraId="350B6B5C" w14:textId="2B6BDE1C" w:rsidR="00E372A8" w:rsidRPr="00E372A8" w:rsidRDefault="00E372A8" w:rsidP="00E372A8">
      <w:pPr>
        <w:autoSpaceDE w:val="0"/>
        <w:autoSpaceDN w:val="0"/>
        <w:adjustRightInd w:val="0"/>
        <w:ind w:left="720"/>
        <w:jc w:val="both"/>
        <w:rPr>
          <w:lang w:val="en-TT" w:eastAsia="ja-JP"/>
        </w:rPr>
      </w:pPr>
      <w:r w:rsidRPr="00E372A8">
        <w:rPr>
          <w:lang w:val="en-TT" w:eastAsia="ja-JP"/>
        </w:rPr>
        <w:t>(ii) that is wholly or jointly owned or controlled, directly or indirectly, by the</w:t>
      </w:r>
    </w:p>
    <w:p w14:paraId="122265F1" w14:textId="77777777" w:rsidR="00E372A8" w:rsidRPr="00E372A8" w:rsidRDefault="00E372A8" w:rsidP="00E372A8">
      <w:pPr>
        <w:autoSpaceDE w:val="0"/>
        <w:autoSpaceDN w:val="0"/>
        <w:adjustRightInd w:val="0"/>
        <w:ind w:left="720"/>
        <w:jc w:val="both"/>
        <w:rPr>
          <w:lang w:val="en-TT" w:eastAsia="ja-JP"/>
        </w:rPr>
      </w:pPr>
      <w:r w:rsidRPr="00E372A8">
        <w:rPr>
          <w:lang w:val="en-TT" w:eastAsia="ja-JP"/>
        </w:rPr>
        <w:t>listed entity; or</w:t>
      </w:r>
    </w:p>
    <w:p w14:paraId="381CEFCF" w14:textId="50DDD9F5" w:rsidR="00E372A8" w:rsidRPr="00E372A8" w:rsidRDefault="00E372A8" w:rsidP="00E372A8">
      <w:pPr>
        <w:autoSpaceDE w:val="0"/>
        <w:autoSpaceDN w:val="0"/>
        <w:adjustRightInd w:val="0"/>
        <w:ind w:left="720"/>
        <w:jc w:val="both"/>
        <w:rPr>
          <w:lang w:val="en-TT" w:eastAsia="ja-JP"/>
        </w:rPr>
      </w:pPr>
      <w:r w:rsidRPr="00E372A8">
        <w:rPr>
          <w:lang w:val="en-TT" w:eastAsia="ja-JP"/>
        </w:rPr>
        <w:t>(iii) derived or generated from funds or other assets owned or controlled directly or</w:t>
      </w:r>
    </w:p>
    <w:p w14:paraId="4928B243" w14:textId="77777777" w:rsidR="00E372A8" w:rsidRPr="00E372A8" w:rsidRDefault="00E372A8" w:rsidP="00E372A8">
      <w:pPr>
        <w:autoSpaceDE w:val="0"/>
        <w:autoSpaceDN w:val="0"/>
        <w:adjustRightInd w:val="0"/>
        <w:ind w:left="720"/>
        <w:jc w:val="both"/>
        <w:rPr>
          <w:lang w:val="en-TT" w:eastAsia="ja-JP"/>
        </w:rPr>
      </w:pPr>
      <w:r w:rsidRPr="00E372A8">
        <w:rPr>
          <w:lang w:val="en-TT" w:eastAsia="ja-JP"/>
        </w:rPr>
        <w:t>indirectly by the listed entity.</w:t>
      </w:r>
    </w:p>
    <w:p w14:paraId="1DE50CAE" w14:textId="48AA16EB" w:rsidR="00E372A8" w:rsidRPr="00E372A8" w:rsidRDefault="00E372A8" w:rsidP="009412F5">
      <w:pPr>
        <w:jc w:val="both"/>
      </w:pPr>
    </w:p>
    <w:p w14:paraId="073480B1" w14:textId="128AD1E2" w:rsidR="009412F5" w:rsidRPr="00E372A8" w:rsidRDefault="00E372A8" w:rsidP="009412F5">
      <w:pPr>
        <w:jc w:val="both"/>
      </w:pPr>
      <w:r w:rsidRPr="00E372A8">
        <w:t xml:space="preserve">The Act </w:t>
      </w:r>
      <w:r w:rsidR="009412F5" w:rsidRPr="00E372A8">
        <w:t>define</w:t>
      </w:r>
      <w:r w:rsidRPr="00E372A8">
        <w:t>s</w:t>
      </w:r>
      <w:r w:rsidR="009412F5" w:rsidRPr="00E372A8">
        <w:t xml:space="preserve"> property as follows:</w:t>
      </w:r>
    </w:p>
    <w:p w14:paraId="7B07ED28" w14:textId="7A221016" w:rsidR="00E372A8" w:rsidRPr="00E372A8" w:rsidRDefault="00E372A8" w:rsidP="009412F5">
      <w:pPr>
        <w:jc w:val="both"/>
      </w:pPr>
    </w:p>
    <w:p w14:paraId="07D0263D" w14:textId="74827398" w:rsidR="00E372A8" w:rsidRPr="00E372A8" w:rsidRDefault="00E372A8" w:rsidP="00DA2A6B">
      <w:pPr>
        <w:autoSpaceDE w:val="0"/>
        <w:autoSpaceDN w:val="0"/>
        <w:adjustRightInd w:val="0"/>
        <w:ind w:left="284"/>
        <w:jc w:val="both"/>
        <w:rPr>
          <w:i/>
        </w:rPr>
      </w:pPr>
      <w:r w:rsidRPr="00E372A8">
        <w:rPr>
          <w:i/>
          <w:lang w:val="en-TT" w:eastAsia="ja-JP"/>
        </w:rPr>
        <w:t>“property” or “funds” means assets of any kind, whether tangible or intangible, moveable or immovable, however acquired and legal documents or instruments in any form, including electronic or digital, evidencing title to, or interest in, such assets, including but not limited to bank credits, payment cards, payment instruments, travellers cheques, bank cheques, money orders, shares, securities, bonds, drafts, letters of credit whether situated in Trinidad and Tobago or elsewhere, and includes a legal or equitable interest, whether full or partial, in any such property, precious metals, oil and other natural resources and their refined products, modular refineries and related material and other economic resources which may be used to obtain funds, goods or services;</w:t>
      </w:r>
    </w:p>
    <w:p w14:paraId="717C0627" w14:textId="4C62AD11" w:rsidR="009412F5" w:rsidRDefault="009412F5" w:rsidP="009412F5">
      <w:pPr>
        <w:jc w:val="both"/>
      </w:pPr>
    </w:p>
    <w:p w14:paraId="7E9AA252" w14:textId="77777777" w:rsidR="00DA2A6B" w:rsidRPr="00E372A8" w:rsidRDefault="00DA2A6B" w:rsidP="009412F5">
      <w:pPr>
        <w:jc w:val="both"/>
      </w:pPr>
    </w:p>
    <w:p w14:paraId="5242E864" w14:textId="77777777" w:rsidR="00DA2A6B" w:rsidRDefault="009412F5" w:rsidP="009412F5">
      <w:pPr>
        <w:jc w:val="both"/>
        <w:rPr>
          <w:b/>
        </w:rPr>
      </w:pPr>
      <w:r w:rsidRPr="00E372A8">
        <w:rPr>
          <w:b/>
        </w:rPr>
        <w:t>WHAT OTHER PROHIBITIONS APPLY?</w:t>
      </w:r>
    </w:p>
    <w:p w14:paraId="23E238EA" w14:textId="34A5DC59" w:rsidR="00197302" w:rsidRDefault="00BC5E1E" w:rsidP="009412F5">
      <w:pPr>
        <w:jc w:val="both"/>
      </w:pPr>
      <w:r w:rsidRPr="004B1E90">
        <w:t xml:space="preserve">Numerous provisions of the Act </w:t>
      </w:r>
      <w:r w:rsidR="00197302" w:rsidRPr="00606972">
        <w:rPr>
          <w:rFonts w:asciiTheme="minorHAnsi" w:hAnsiTheme="minorHAnsi" w:cstheme="minorHAnsi"/>
        </w:rPr>
        <w:t>include prohibitions again</w:t>
      </w:r>
      <w:r w:rsidR="00197302">
        <w:rPr>
          <w:rFonts w:asciiTheme="minorHAnsi" w:hAnsiTheme="minorHAnsi" w:cstheme="minorHAnsi"/>
        </w:rPr>
        <w:t>st dealing with listed entities</w:t>
      </w:r>
      <w:r w:rsidR="00197302" w:rsidRPr="00606972">
        <w:rPr>
          <w:rFonts w:asciiTheme="minorHAnsi" w:hAnsiTheme="minorHAnsi" w:cstheme="minorHAnsi"/>
        </w:rPr>
        <w:t>; or</w:t>
      </w:r>
      <w:r w:rsidR="00197302">
        <w:rPr>
          <w:rFonts w:asciiTheme="minorHAnsi" w:hAnsiTheme="minorHAnsi" w:cstheme="minorHAnsi"/>
        </w:rPr>
        <w:t xml:space="preserve"> persons or an entities</w:t>
      </w:r>
      <w:r w:rsidR="00197302" w:rsidRPr="00606972">
        <w:rPr>
          <w:rFonts w:asciiTheme="minorHAnsi" w:hAnsiTheme="minorHAnsi" w:cstheme="minorHAnsi"/>
        </w:rPr>
        <w:t xml:space="preserve"> acting on behalf of, or at the direction of a listed entity. These include:</w:t>
      </w:r>
    </w:p>
    <w:p w14:paraId="0C565DE7" w14:textId="77777777" w:rsidR="00197302" w:rsidRDefault="00197302" w:rsidP="009412F5">
      <w:pPr>
        <w:jc w:val="both"/>
      </w:pPr>
    </w:p>
    <w:p w14:paraId="4799B7D5" w14:textId="60979A9D" w:rsidR="00A41CFE" w:rsidRDefault="00197302" w:rsidP="009412F5">
      <w:pPr>
        <w:pStyle w:val="ListParagraph"/>
        <w:numPr>
          <w:ilvl w:val="0"/>
          <w:numId w:val="4"/>
        </w:numPr>
        <w:jc w:val="both"/>
        <w:rPr>
          <w:rFonts w:ascii="Times New Roman" w:hAnsi="Times New Roman" w:cs="Times New Roman"/>
        </w:rPr>
      </w:pPr>
      <w:r>
        <w:rPr>
          <w:rFonts w:ascii="Times New Roman" w:hAnsi="Times New Roman" w:cs="Times New Roman"/>
        </w:rPr>
        <w:t>P</w:t>
      </w:r>
      <w:r w:rsidR="00A41CFE">
        <w:rPr>
          <w:rFonts w:ascii="Times New Roman" w:hAnsi="Times New Roman" w:cs="Times New Roman"/>
        </w:rPr>
        <w:t>rovision of financial or other related services to listed entities;</w:t>
      </w:r>
      <w:r w:rsidR="00C3529C">
        <w:rPr>
          <w:rFonts w:ascii="Times New Roman" w:hAnsi="Times New Roman" w:cs="Times New Roman"/>
        </w:rPr>
        <w:t xml:space="preserve">    </w:t>
      </w:r>
    </w:p>
    <w:p w14:paraId="28140C96" w14:textId="33136B14" w:rsidR="00A41CFE" w:rsidRDefault="00197302" w:rsidP="009412F5">
      <w:pPr>
        <w:pStyle w:val="ListParagraph"/>
        <w:numPr>
          <w:ilvl w:val="0"/>
          <w:numId w:val="4"/>
        </w:numPr>
        <w:jc w:val="both"/>
        <w:rPr>
          <w:rFonts w:ascii="Times New Roman" w:hAnsi="Times New Roman" w:cs="Times New Roman"/>
        </w:rPr>
      </w:pPr>
      <w:r>
        <w:rPr>
          <w:rFonts w:ascii="Times New Roman" w:hAnsi="Times New Roman" w:cs="Times New Roman"/>
        </w:rPr>
        <w:t>C</w:t>
      </w:r>
      <w:r w:rsidR="00A41CFE">
        <w:rPr>
          <w:rFonts w:ascii="Times New Roman" w:hAnsi="Times New Roman" w:cs="Times New Roman"/>
        </w:rPr>
        <w:t>ollecting, providing or making available any property to listed entities;</w:t>
      </w:r>
    </w:p>
    <w:p w14:paraId="6E2D3B58" w14:textId="34D3B0A8" w:rsidR="00A41CFE" w:rsidRDefault="00A41CFE" w:rsidP="009412F5">
      <w:pPr>
        <w:pStyle w:val="ListParagraph"/>
        <w:numPr>
          <w:ilvl w:val="0"/>
          <w:numId w:val="4"/>
        </w:numPr>
        <w:jc w:val="both"/>
        <w:rPr>
          <w:rFonts w:ascii="Times New Roman" w:hAnsi="Times New Roman" w:cs="Times New Roman"/>
        </w:rPr>
      </w:pPr>
      <w:r>
        <w:rPr>
          <w:rFonts w:ascii="Times New Roman" w:hAnsi="Times New Roman" w:cs="Times New Roman"/>
        </w:rPr>
        <w:t xml:space="preserve">Provision of or solicitation of support for a listed entity; </w:t>
      </w:r>
    </w:p>
    <w:p w14:paraId="382CDDFF" w14:textId="06D2CA01" w:rsidR="00A41CFE" w:rsidRDefault="00A41CFE" w:rsidP="009412F5">
      <w:pPr>
        <w:pStyle w:val="ListParagraph"/>
        <w:numPr>
          <w:ilvl w:val="0"/>
          <w:numId w:val="4"/>
        </w:numPr>
        <w:jc w:val="both"/>
        <w:rPr>
          <w:rFonts w:ascii="Times New Roman" w:hAnsi="Times New Roman" w:cs="Times New Roman"/>
        </w:rPr>
      </w:pPr>
      <w:r>
        <w:rPr>
          <w:rFonts w:ascii="Times New Roman" w:hAnsi="Times New Roman" w:cs="Times New Roman"/>
        </w:rPr>
        <w:t>Provision of collection of funds for the use of listed entities;</w:t>
      </w:r>
    </w:p>
    <w:p w14:paraId="5F9C4EDF" w14:textId="4CDBECC1" w:rsidR="00A41CFE" w:rsidRDefault="00A41CFE" w:rsidP="009412F5">
      <w:pPr>
        <w:pStyle w:val="ListParagraph"/>
        <w:numPr>
          <w:ilvl w:val="0"/>
          <w:numId w:val="4"/>
        </w:numPr>
        <w:jc w:val="both"/>
        <w:rPr>
          <w:rFonts w:ascii="Times New Roman" w:hAnsi="Times New Roman" w:cs="Times New Roman"/>
        </w:rPr>
      </w:pPr>
      <w:r>
        <w:rPr>
          <w:rFonts w:ascii="Times New Roman" w:hAnsi="Times New Roman" w:cs="Times New Roman"/>
        </w:rPr>
        <w:t>Acting on behalf of, at the direction of, or in association with a listed entity;</w:t>
      </w:r>
    </w:p>
    <w:p w14:paraId="2C168CBE" w14:textId="6188DFBD" w:rsidR="00A41CFE" w:rsidRDefault="00A41CFE" w:rsidP="009412F5">
      <w:pPr>
        <w:pStyle w:val="ListParagraph"/>
        <w:numPr>
          <w:ilvl w:val="0"/>
          <w:numId w:val="4"/>
        </w:numPr>
        <w:jc w:val="both"/>
        <w:rPr>
          <w:rFonts w:ascii="Times New Roman" w:hAnsi="Times New Roman" w:cs="Times New Roman"/>
        </w:rPr>
      </w:pPr>
      <w:r>
        <w:rPr>
          <w:rFonts w:ascii="Times New Roman" w:hAnsi="Times New Roman" w:cs="Times New Roman"/>
        </w:rPr>
        <w:t>Committing an indictable offence for the benefit of or in association with a listed entity.</w:t>
      </w:r>
    </w:p>
    <w:p w14:paraId="69AFC218" w14:textId="77777777" w:rsidR="009412F5" w:rsidRPr="00E372A8" w:rsidRDefault="009412F5" w:rsidP="009412F5">
      <w:pPr>
        <w:jc w:val="both"/>
      </w:pPr>
    </w:p>
    <w:p w14:paraId="16B60A9B" w14:textId="5AFC3874" w:rsidR="009412F5" w:rsidRPr="00E372A8" w:rsidRDefault="009412F5" w:rsidP="009412F5">
      <w:pPr>
        <w:jc w:val="both"/>
      </w:pPr>
      <w:r w:rsidRPr="00E372A8">
        <w:t xml:space="preserve">Breach of these prohibitions constitute criminal offences under the Act. These prohibitions are however subject to any exceptions set out in a freezing order of the High Court. </w:t>
      </w:r>
    </w:p>
    <w:p w14:paraId="60C1A7C2" w14:textId="77777777" w:rsidR="009412F5" w:rsidRPr="00E372A8" w:rsidRDefault="009412F5" w:rsidP="009412F5">
      <w:pPr>
        <w:jc w:val="both"/>
      </w:pPr>
    </w:p>
    <w:p w14:paraId="004DBA50" w14:textId="3892B923" w:rsidR="009412F5" w:rsidRPr="00E372A8" w:rsidRDefault="009412F5" w:rsidP="009412F5">
      <w:pPr>
        <w:jc w:val="both"/>
        <w:rPr>
          <w:b/>
        </w:rPr>
      </w:pPr>
      <w:r w:rsidRPr="00E372A8">
        <w:rPr>
          <w:b/>
        </w:rPr>
        <w:t>WHAT IF I AM MISTAKEN FOR A LISTED ENTITY OR I AM AN INNOCENT THIRD-PARTY AFFECTED BY A FREEZING ORDER?</w:t>
      </w:r>
    </w:p>
    <w:p w14:paraId="40F133B4" w14:textId="0AFFA347" w:rsidR="009412F5" w:rsidRPr="00E372A8" w:rsidRDefault="00F8690D" w:rsidP="009412F5">
      <w:pPr>
        <w:jc w:val="both"/>
      </w:pPr>
      <w:r>
        <w:t>The Act</w:t>
      </w:r>
      <w:r w:rsidR="009412F5" w:rsidRPr="00E372A8">
        <w:t xml:space="preserve"> allow</w:t>
      </w:r>
      <w:r>
        <w:t>s</w:t>
      </w:r>
      <w:r w:rsidR="009412F5" w:rsidRPr="00E372A8">
        <w:t xml:space="preserve"> a person affected by a freezing order to apply to the High Court for a review of the </w:t>
      </w:r>
      <w:r w:rsidR="0025633E">
        <w:t>O</w:t>
      </w:r>
      <w:r w:rsidR="009412F5" w:rsidRPr="00E372A8">
        <w:t xml:space="preserve">rder. This includes a person with the same or </w:t>
      </w:r>
      <w:r>
        <w:t>similar name to a listed entity.</w:t>
      </w:r>
      <w:r w:rsidR="0063735A">
        <w:t xml:space="preserve"> The Order of the High Court may also make provisions </w:t>
      </w:r>
      <w:r w:rsidR="0025633E">
        <w:t xml:space="preserve">in order </w:t>
      </w:r>
      <w:r w:rsidR="0063735A">
        <w:t xml:space="preserve">to protect the rights of a bona fide third party </w:t>
      </w:r>
      <w:r w:rsidR="0063735A" w:rsidRPr="00606972">
        <w:rPr>
          <w:rFonts w:asciiTheme="minorHAnsi" w:hAnsiTheme="minorHAnsi" w:cstheme="minorHAnsi"/>
        </w:rPr>
        <w:t>acting in good faith</w:t>
      </w:r>
      <w:r w:rsidR="0063735A">
        <w:rPr>
          <w:rFonts w:asciiTheme="minorHAnsi" w:hAnsiTheme="minorHAnsi" w:cstheme="minorHAnsi"/>
        </w:rPr>
        <w:t>.</w:t>
      </w:r>
    </w:p>
    <w:p w14:paraId="0059536B" w14:textId="77777777" w:rsidR="009412F5" w:rsidRPr="00E372A8" w:rsidRDefault="009412F5" w:rsidP="009412F5">
      <w:pPr>
        <w:jc w:val="both"/>
      </w:pPr>
    </w:p>
    <w:p w14:paraId="0CB79E4C" w14:textId="5FC76968" w:rsidR="00A835D9" w:rsidRDefault="009412F5" w:rsidP="00A835D9">
      <w:pPr>
        <w:jc w:val="both"/>
        <w:rPr>
          <w:b/>
          <w:lang w:val="en-TT"/>
        </w:rPr>
      </w:pPr>
      <w:r w:rsidRPr="00E372A8">
        <w:rPr>
          <w:b/>
        </w:rPr>
        <w:t>HOW CAN A LISTED ENTITY</w:t>
      </w:r>
      <w:r w:rsidR="00A835D9">
        <w:rPr>
          <w:b/>
        </w:rPr>
        <w:t xml:space="preserve"> APPLY TO BE REMOVED FROM THE UN’S</w:t>
      </w:r>
      <w:r w:rsidR="00A835D9" w:rsidRPr="00E372A8">
        <w:rPr>
          <w:b/>
        </w:rPr>
        <w:t xml:space="preserve"> </w:t>
      </w:r>
      <w:r w:rsidR="00A835D9">
        <w:rPr>
          <w:b/>
          <w:lang w:val="en-TT"/>
        </w:rPr>
        <w:t xml:space="preserve">1267 (1999), 1989 </w:t>
      </w:r>
      <w:r w:rsidR="00A835D9" w:rsidRPr="00A835D9">
        <w:rPr>
          <w:b/>
          <w:lang w:val="en-TT"/>
        </w:rPr>
        <w:t>(2011) AND 2253 (2015) LIST OR THE 1988 LIST</w:t>
      </w:r>
      <w:r w:rsidR="00A835D9">
        <w:rPr>
          <w:b/>
          <w:lang w:val="en-TT"/>
        </w:rPr>
        <w:t>?</w:t>
      </w:r>
    </w:p>
    <w:p w14:paraId="5BBF3751" w14:textId="66360B77" w:rsidR="009412F5" w:rsidRPr="00A835D9" w:rsidRDefault="00534766" w:rsidP="00A835D9">
      <w:pPr>
        <w:jc w:val="both"/>
        <w:rPr>
          <w:b/>
          <w:lang w:val="en-TT"/>
        </w:rPr>
      </w:pPr>
      <w:r>
        <w:t>The Act provides that w</w:t>
      </w:r>
      <w:r w:rsidR="00A835D9">
        <w:t>here</w:t>
      </w:r>
      <w:r w:rsidR="009412F5" w:rsidRPr="00E372A8">
        <w:t xml:space="preserve"> an individual or entity who has been placed on either </w:t>
      </w:r>
      <w:r w:rsidR="00A835D9">
        <w:t xml:space="preserve">of </w:t>
      </w:r>
      <w:r>
        <w:t>these</w:t>
      </w:r>
      <w:r w:rsidR="00A835D9">
        <w:t xml:space="preserve"> Lists</w:t>
      </w:r>
      <w:r w:rsidR="009412F5" w:rsidRPr="00E372A8">
        <w:t>, wishes to have his name removed from the list</w:t>
      </w:r>
      <w:r w:rsidR="00A256FE">
        <w:t>,</w:t>
      </w:r>
      <w:r w:rsidR="009412F5" w:rsidRPr="00E372A8">
        <w:t xml:space="preserve"> he may-</w:t>
      </w:r>
    </w:p>
    <w:p w14:paraId="51BA0DB2" w14:textId="407B44FF" w:rsidR="009412F5" w:rsidRPr="00E372A8" w:rsidRDefault="00A835D9" w:rsidP="009412F5">
      <w:pPr>
        <w:pStyle w:val="ListParagraph"/>
        <w:numPr>
          <w:ilvl w:val="0"/>
          <w:numId w:val="5"/>
        </w:numPr>
        <w:jc w:val="both"/>
        <w:rPr>
          <w:rFonts w:ascii="Times New Roman" w:hAnsi="Times New Roman" w:cs="Times New Roman"/>
        </w:rPr>
      </w:pPr>
      <w:r>
        <w:rPr>
          <w:rFonts w:ascii="Times New Roman" w:hAnsi="Times New Roman" w:cs="Times New Roman"/>
        </w:rPr>
        <w:t>Apply to the United Nations Office of the Ombudsperson to</w:t>
      </w:r>
      <w:r w:rsidR="00A256FE">
        <w:rPr>
          <w:rFonts w:ascii="Times New Roman" w:hAnsi="Times New Roman" w:cs="Times New Roman"/>
        </w:rPr>
        <w:t xml:space="preserve"> </w:t>
      </w:r>
      <w:r>
        <w:rPr>
          <w:rFonts w:ascii="Times New Roman" w:hAnsi="Times New Roman" w:cs="Times New Roman"/>
        </w:rPr>
        <w:t>petition for removal from the relevant list (</w:t>
      </w:r>
      <w:hyperlink r:id="rId9" w:history="1">
        <w:r>
          <w:rPr>
            <w:rStyle w:val="Hyperlink"/>
          </w:rPr>
          <w:t>https://www.un.org/securitycouncil/ombudsperson</w:t>
        </w:r>
      </w:hyperlink>
      <w:r w:rsidR="009412F5" w:rsidRPr="00E372A8">
        <w:rPr>
          <w:rFonts w:ascii="Times New Roman" w:hAnsi="Times New Roman" w:cs="Times New Roman"/>
        </w:rPr>
        <w:t xml:space="preserve">; </w:t>
      </w:r>
      <w:hyperlink r:id="rId10" w:history="1">
        <w:r>
          <w:rPr>
            <w:rStyle w:val="Hyperlink"/>
          </w:rPr>
          <w:t>https://www.un.org/securitycouncil/sanctions/delisting</w:t>
        </w:r>
      </w:hyperlink>
      <w:r>
        <w:t>);</w:t>
      </w:r>
      <w:r w:rsidR="009412F5" w:rsidRPr="00E372A8">
        <w:rPr>
          <w:rFonts w:ascii="Times New Roman" w:hAnsi="Times New Roman" w:cs="Times New Roman"/>
        </w:rPr>
        <w:t>or</w:t>
      </w:r>
    </w:p>
    <w:p w14:paraId="69AC3563" w14:textId="77777777" w:rsidR="009412F5" w:rsidRPr="00E372A8" w:rsidRDefault="009412F5" w:rsidP="009412F5">
      <w:pPr>
        <w:pStyle w:val="ListParagraph"/>
        <w:numPr>
          <w:ilvl w:val="0"/>
          <w:numId w:val="5"/>
        </w:numPr>
        <w:jc w:val="both"/>
        <w:rPr>
          <w:rFonts w:ascii="Times New Roman" w:hAnsi="Times New Roman" w:cs="Times New Roman"/>
        </w:rPr>
      </w:pPr>
      <w:r w:rsidRPr="00E372A8">
        <w:rPr>
          <w:rFonts w:ascii="Times New Roman" w:hAnsi="Times New Roman" w:cs="Times New Roman"/>
        </w:rPr>
        <w:t>apply to the Attorney General to petition the Focal Point for De-Listing, for the removal of his name from the List.</w:t>
      </w:r>
    </w:p>
    <w:p w14:paraId="0E88FAFF" w14:textId="77777777" w:rsidR="009412F5" w:rsidRPr="00E372A8" w:rsidRDefault="009412F5" w:rsidP="009412F5">
      <w:pPr>
        <w:pStyle w:val="ListParagraph"/>
        <w:jc w:val="both"/>
        <w:rPr>
          <w:rFonts w:ascii="Times New Roman" w:hAnsi="Times New Roman" w:cs="Times New Roman"/>
        </w:rPr>
      </w:pPr>
    </w:p>
    <w:p w14:paraId="3811CEEC" w14:textId="77777777" w:rsidR="009412F5" w:rsidRPr="00E372A8" w:rsidRDefault="009412F5" w:rsidP="009412F5">
      <w:pPr>
        <w:jc w:val="both"/>
      </w:pPr>
      <w:r w:rsidRPr="00E372A8">
        <w:t>Applications to the Attorney General should be made in writing to:</w:t>
      </w:r>
    </w:p>
    <w:p w14:paraId="1E3BF5C0" w14:textId="77777777" w:rsidR="009412F5" w:rsidRPr="00E372A8" w:rsidRDefault="009412F5" w:rsidP="009412F5">
      <w:pPr>
        <w:ind w:left="720"/>
        <w:jc w:val="both"/>
      </w:pPr>
      <w:r w:rsidRPr="00E372A8">
        <w:t>The Attorney General,</w:t>
      </w:r>
    </w:p>
    <w:p w14:paraId="7D4F7B32" w14:textId="77777777" w:rsidR="009412F5" w:rsidRPr="00E372A8" w:rsidRDefault="009412F5" w:rsidP="009412F5">
      <w:pPr>
        <w:ind w:left="720"/>
        <w:jc w:val="both"/>
      </w:pPr>
      <w:r w:rsidRPr="00E372A8">
        <w:t>Ministry of the Attorney General and Legal Affairs,</w:t>
      </w:r>
    </w:p>
    <w:p w14:paraId="6D36330F" w14:textId="77777777" w:rsidR="009412F5" w:rsidRPr="00E372A8" w:rsidRDefault="009412F5" w:rsidP="009412F5">
      <w:pPr>
        <w:ind w:left="720"/>
        <w:jc w:val="both"/>
      </w:pPr>
      <w:r w:rsidRPr="00E372A8">
        <w:t>Level 21 AGLA Tower,</w:t>
      </w:r>
    </w:p>
    <w:p w14:paraId="5351B711" w14:textId="77777777" w:rsidR="009412F5" w:rsidRPr="00E372A8" w:rsidRDefault="009412F5" w:rsidP="009412F5">
      <w:pPr>
        <w:ind w:left="720"/>
        <w:jc w:val="both"/>
      </w:pPr>
      <w:r w:rsidRPr="00E372A8">
        <w:t>Cor. London &amp; Richmond Streets,</w:t>
      </w:r>
    </w:p>
    <w:p w14:paraId="00E8E152" w14:textId="77777777" w:rsidR="009412F5" w:rsidRPr="00E372A8" w:rsidRDefault="009412F5" w:rsidP="009412F5">
      <w:pPr>
        <w:ind w:left="720"/>
        <w:jc w:val="both"/>
      </w:pPr>
      <w:r w:rsidRPr="00E372A8">
        <w:t>Port of Spain.</w:t>
      </w:r>
    </w:p>
    <w:p w14:paraId="0118A79D" w14:textId="77777777" w:rsidR="009412F5" w:rsidRPr="00E372A8" w:rsidRDefault="009412F5" w:rsidP="009412F5">
      <w:pPr>
        <w:ind w:left="720"/>
        <w:jc w:val="both"/>
      </w:pPr>
    </w:p>
    <w:p w14:paraId="29E2D494" w14:textId="77777777" w:rsidR="009412F5" w:rsidRPr="00E372A8" w:rsidRDefault="009412F5" w:rsidP="009412F5">
      <w:pPr>
        <w:jc w:val="both"/>
      </w:pPr>
      <w:r w:rsidRPr="00E372A8">
        <w:t>Applications should include in the subject “UNITED NATIONS SANCTIONS – DE-LISTING” and should include contact information by which you can be easily reached.</w:t>
      </w:r>
    </w:p>
    <w:p w14:paraId="7E020CFC" w14:textId="77777777" w:rsidR="009412F5" w:rsidRPr="00E372A8" w:rsidRDefault="009412F5" w:rsidP="009412F5">
      <w:pPr>
        <w:jc w:val="both"/>
      </w:pPr>
    </w:p>
    <w:p w14:paraId="2FB92196" w14:textId="77777777" w:rsidR="009412F5" w:rsidRPr="00E372A8" w:rsidRDefault="009412F5" w:rsidP="009412F5">
      <w:pPr>
        <w:jc w:val="both"/>
        <w:rPr>
          <w:b/>
        </w:rPr>
      </w:pPr>
      <w:r w:rsidRPr="00E372A8">
        <w:rPr>
          <w:b/>
        </w:rPr>
        <w:t>WHAT HAPPENS WHEN A FREEZING ORDER IS REVOKED OR THE UN REMOVES AN INDIVIDUAL OR ENTITY FROM THE LIST?</w:t>
      </w:r>
    </w:p>
    <w:p w14:paraId="6C4A474A" w14:textId="0834D400" w:rsidR="009412F5" w:rsidRPr="00E372A8" w:rsidRDefault="009412F5" w:rsidP="009412F5">
      <w:pPr>
        <w:jc w:val="both"/>
      </w:pPr>
      <w:r w:rsidRPr="00E372A8">
        <w:t xml:space="preserve">The Ministry of the Attorney General publishes on its website, as well as the Gazette and two daily newspapers, every order of the High Court revoking a freezing order. When an order is revoked the funds are no longer frozen and there are no longer any restrictions on transactions involving the property of the individual or entity. </w:t>
      </w:r>
    </w:p>
    <w:p w14:paraId="789DCCE1" w14:textId="77777777" w:rsidR="009412F5" w:rsidRPr="00E372A8" w:rsidRDefault="009412F5" w:rsidP="009412F5">
      <w:pPr>
        <w:jc w:val="both"/>
      </w:pPr>
    </w:p>
    <w:p w14:paraId="58C9BC43" w14:textId="77777777" w:rsidR="009412F5" w:rsidRPr="00E372A8" w:rsidRDefault="009412F5" w:rsidP="009412F5">
      <w:pPr>
        <w:jc w:val="both"/>
        <w:rPr>
          <w:b/>
        </w:rPr>
      </w:pPr>
      <w:r w:rsidRPr="00E372A8">
        <w:rPr>
          <w:b/>
        </w:rPr>
        <w:t>WHERE CAN I GET MORE INFORMATION?</w:t>
      </w:r>
    </w:p>
    <w:p w14:paraId="4E483F2A" w14:textId="32285F43" w:rsidR="009412F5" w:rsidRPr="00E372A8" w:rsidRDefault="009412F5" w:rsidP="009412F5">
      <w:pPr>
        <w:jc w:val="both"/>
      </w:pPr>
      <w:r w:rsidRPr="00E372A8">
        <w:t xml:space="preserve">For further </w:t>
      </w:r>
      <w:r w:rsidR="00C3529C" w:rsidRPr="00E372A8">
        <w:t>information,</w:t>
      </w:r>
      <w:r w:rsidRPr="00E372A8">
        <w:t xml:space="preserve"> please contact the Anti-Terrorism Unit, Ministry of the Attorney General via the following contact information:</w:t>
      </w:r>
    </w:p>
    <w:p w14:paraId="44AC0C85" w14:textId="77777777" w:rsidR="009412F5" w:rsidRPr="00E372A8" w:rsidRDefault="009412F5" w:rsidP="009412F5">
      <w:pPr>
        <w:jc w:val="both"/>
      </w:pPr>
    </w:p>
    <w:p w14:paraId="17691120" w14:textId="77777777" w:rsidR="009412F5" w:rsidRPr="00E372A8" w:rsidRDefault="009412F5" w:rsidP="009412F5">
      <w:pPr>
        <w:ind w:left="720"/>
        <w:jc w:val="both"/>
      </w:pPr>
      <w:r w:rsidRPr="00E372A8">
        <w:t>The Anti-Terrorism Unit,</w:t>
      </w:r>
    </w:p>
    <w:p w14:paraId="34C2C50E" w14:textId="77777777" w:rsidR="009412F5" w:rsidRPr="00E372A8" w:rsidRDefault="009412F5" w:rsidP="009412F5">
      <w:pPr>
        <w:ind w:left="720"/>
        <w:jc w:val="both"/>
      </w:pPr>
      <w:r w:rsidRPr="00E372A8">
        <w:t>Ministry of the Attorney General and Legal Affairs,</w:t>
      </w:r>
    </w:p>
    <w:p w14:paraId="2F0E680E" w14:textId="77777777" w:rsidR="009412F5" w:rsidRPr="00E372A8" w:rsidRDefault="009412F5" w:rsidP="009412F5">
      <w:pPr>
        <w:ind w:left="720"/>
        <w:jc w:val="both"/>
      </w:pPr>
      <w:r w:rsidRPr="00E372A8">
        <w:t>Level 21 AGLA Tower,</w:t>
      </w:r>
    </w:p>
    <w:p w14:paraId="56BA9CE1" w14:textId="77777777" w:rsidR="009412F5" w:rsidRPr="00E372A8" w:rsidRDefault="009412F5" w:rsidP="009412F5">
      <w:pPr>
        <w:ind w:left="720"/>
        <w:jc w:val="both"/>
      </w:pPr>
      <w:r w:rsidRPr="00E372A8">
        <w:t>Cor. London &amp; Richmond Streets,</w:t>
      </w:r>
    </w:p>
    <w:p w14:paraId="50213BA1" w14:textId="77777777" w:rsidR="009412F5" w:rsidRPr="00E372A8" w:rsidRDefault="009412F5" w:rsidP="009412F5">
      <w:pPr>
        <w:ind w:left="720"/>
        <w:jc w:val="both"/>
      </w:pPr>
      <w:r w:rsidRPr="00E372A8">
        <w:t>Port of Spain</w:t>
      </w:r>
    </w:p>
    <w:p w14:paraId="25F96BCD" w14:textId="77777777" w:rsidR="009412F5" w:rsidRPr="00E372A8" w:rsidRDefault="009412F5" w:rsidP="009412F5">
      <w:pPr>
        <w:ind w:left="720"/>
        <w:jc w:val="both"/>
      </w:pPr>
      <w:r w:rsidRPr="00E372A8">
        <w:t>Tel: (868) 223-AGLA (2452) ext .3800</w:t>
      </w:r>
    </w:p>
    <w:p w14:paraId="6CA968EB" w14:textId="77777777" w:rsidR="009412F5" w:rsidRPr="00E372A8" w:rsidRDefault="009412F5" w:rsidP="009412F5">
      <w:pPr>
        <w:ind w:left="720"/>
        <w:jc w:val="both"/>
      </w:pPr>
      <w:r w:rsidRPr="00E372A8">
        <w:t>Fax: (868) 226-5145</w:t>
      </w:r>
    </w:p>
    <w:p w14:paraId="3A2AEA38" w14:textId="77777777" w:rsidR="009412F5" w:rsidRPr="00E372A8" w:rsidRDefault="009412F5" w:rsidP="009412F5">
      <w:pPr>
        <w:ind w:left="720"/>
        <w:jc w:val="both"/>
      </w:pPr>
      <w:r w:rsidRPr="00E372A8">
        <w:t xml:space="preserve">E-mail: </w:t>
      </w:r>
      <w:hyperlink r:id="rId11" w:history="1">
        <w:r w:rsidRPr="00E372A8">
          <w:rPr>
            <w:rStyle w:val="Hyperlink"/>
            <w:color w:val="auto"/>
          </w:rPr>
          <w:t>antiterrorismunit@ag.gov.tt</w:t>
        </w:r>
      </w:hyperlink>
      <w:r w:rsidRPr="00E372A8">
        <w:t xml:space="preserve"> </w:t>
      </w:r>
    </w:p>
    <w:p w14:paraId="1B684116" w14:textId="77777777" w:rsidR="009412F5" w:rsidRPr="00E372A8" w:rsidRDefault="009412F5" w:rsidP="009412F5">
      <w:pPr>
        <w:ind w:left="720"/>
        <w:jc w:val="both"/>
      </w:pPr>
    </w:p>
    <w:p w14:paraId="09959B33" w14:textId="77777777" w:rsidR="009412F5" w:rsidRPr="00E372A8" w:rsidRDefault="009412F5" w:rsidP="009412F5">
      <w:pPr>
        <w:jc w:val="both"/>
      </w:pPr>
    </w:p>
    <w:p w14:paraId="4B6F9B77" w14:textId="77777777" w:rsidR="009412F5" w:rsidRPr="00E372A8" w:rsidRDefault="009412F5" w:rsidP="009412F5">
      <w:pPr>
        <w:jc w:val="both"/>
        <w:rPr>
          <w:b/>
        </w:rPr>
      </w:pPr>
      <w:r w:rsidRPr="00E372A8">
        <w:rPr>
          <w:b/>
        </w:rPr>
        <w:t>NOTICE</w:t>
      </w:r>
    </w:p>
    <w:p w14:paraId="0B70ECF2" w14:textId="3E5C8C00" w:rsidR="002B31E7" w:rsidRPr="004B1E90" w:rsidRDefault="009412F5" w:rsidP="009412F5">
      <w:pPr>
        <w:jc w:val="both"/>
        <w:rPr>
          <w:color w:val="FF0000"/>
        </w:rPr>
      </w:pPr>
      <w:r w:rsidRPr="004B1E90">
        <w:rPr>
          <w:color w:val="FF0000"/>
        </w:rPr>
        <w:t xml:space="preserve">This document has been prepared for information purposes only and does not relieve you of any obligation under the laws of Trinidad and Tobago. Members of the public should familiarize themselves with the </w:t>
      </w:r>
      <w:r w:rsidR="00C3529C" w:rsidRPr="004B1E90">
        <w:rPr>
          <w:color w:val="FF0000"/>
        </w:rPr>
        <w:t>Anti-Terrorism Act, Chap. 12:07</w:t>
      </w:r>
      <w:r w:rsidRPr="004B1E90">
        <w:rPr>
          <w:color w:val="FF0000"/>
        </w:rPr>
        <w:t xml:space="preserve"> and all other relevant laws. This document is not intended as and does not constitute legal advice. Each case is unique and members of the public should seek the advice of a qualified attorney-at-law with respect to their particular case.</w:t>
      </w:r>
      <w:bookmarkStart w:id="0" w:name="_GoBack"/>
      <w:bookmarkEnd w:id="0"/>
    </w:p>
    <w:sectPr w:rsidR="002B31E7" w:rsidRPr="004B1E90" w:rsidSect="009412F5">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458D9" w16cid:durableId="20A8E340"/>
  <w16cid:commentId w16cid:paraId="1935466A" w16cid:durableId="20A8EC53"/>
  <w16cid:commentId w16cid:paraId="2A9B79EA" w16cid:durableId="20AA982F"/>
  <w16cid:commentId w16cid:paraId="4622D8A1" w16cid:durableId="20A8E79A"/>
  <w16cid:commentId w16cid:paraId="4B4408E7" w16cid:durableId="20AA9831"/>
  <w16cid:commentId w16cid:paraId="636690BB" w16cid:durableId="20AA9A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89A0" w14:textId="77777777" w:rsidR="003B255C" w:rsidRDefault="003B255C" w:rsidP="00184B24">
      <w:r>
        <w:separator/>
      </w:r>
    </w:p>
  </w:endnote>
  <w:endnote w:type="continuationSeparator" w:id="0">
    <w:p w14:paraId="70ECA07C" w14:textId="77777777" w:rsidR="003B255C" w:rsidRDefault="003B255C" w:rsidP="0018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56DB" w14:textId="77777777" w:rsidR="00796C5A" w:rsidRDefault="00796C5A" w:rsidP="00A4276F">
    <w:pPr>
      <w:pStyle w:val="Footer"/>
      <w:jc w:val="center"/>
      <w:rPr>
        <w:rFonts w:ascii="Arial Narrow" w:hAnsi="Arial Narrow"/>
        <w:sz w:val="18"/>
        <w:szCs w:val="18"/>
      </w:rPr>
    </w:pPr>
  </w:p>
  <w:p w14:paraId="61D0A8BB" w14:textId="7DE3FB3E" w:rsidR="00796C5A" w:rsidRPr="00A4276F" w:rsidRDefault="00796C5A" w:rsidP="00A427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40631" w14:textId="77777777" w:rsidR="003B255C" w:rsidRDefault="003B255C" w:rsidP="00184B24">
      <w:r>
        <w:separator/>
      </w:r>
    </w:p>
  </w:footnote>
  <w:footnote w:type="continuationSeparator" w:id="0">
    <w:p w14:paraId="662DD7E7" w14:textId="77777777" w:rsidR="003B255C" w:rsidRDefault="003B255C" w:rsidP="00184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E968" w14:textId="3AE68E1A" w:rsidR="00796C5A" w:rsidRDefault="00796C5A" w:rsidP="00184B24">
    <w:pPr>
      <w:pStyle w:val="Header"/>
      <w:jc w:val="center"/>
    </w:pPr>
    <w:r>
      <w:rPr>
        <w:noProof/>
        <w:lang w:val="en-TT" w:eastAsia="en-TT"/>
      </w:rPr>
      <w:drawing>
        <wp:anchor distT="0" distB="0" distL="114300" distR="114300" simplePos="0" relativeHeight="251658240" behindDoc="0" locked="0" layoutInCell="1" allowOverlap="1" wp14:anchorId="59588F57" wp14:editId="49AA1516">
          <wp:simplePos x="0" y="0"/>
          <wp:positionH relativeFrom="margin">
            <wp:align>center</wp:align>
          </wp:positionH>
          <wp:positionV relativeFrom="paragraph">
            <wp:posOffset>0</wp:posOffset>
          </wp:positionV>
          <wp:extent cx="7817485" cy="17338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Letterhead REV2.jpg"/>
                  <pic:cNvPicPr/>
                </pic:nvPicPr>
                <pic:blipFill>
                  <a:blip r:embed="rId1">
                    <a:extLst>
                      <a:ext uri="{28A0092B-C50C-407E-A947-70E740481C1C}">
                        <a14:useLocalDpi xmlns:a14="http://schemas.microsoft.com/office/drawing/2010/main" val="0"/>
                      </a:ext>
                    </a:extLst>
                  </a:blip>
                  <a:stretch>
                    <a:fillRect/>
                  </a:stretch>
                </pic:blipFill>
                <pic:spPr>
                  <a:xfrm>
                    <a:off x="0" y="0"/>
                    <a:ext cx="7818294" cy="1733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25D1"/>
    <w:multiLevelType w:val="hybridMultilevel"/>
    <w:tmpl w:val="D3C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F7FDB"/>
    <w:multiLevelType w:val="hybridMultilevel"/>
    <w:tmpl w:val="FE7EAB32"/>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 w15:restartNumberingAfterBreak="0">
    <w:nsid w:val="258049A4"/>
    <w:multiLevelType w:val="hybridMultilevel"/>
    <w:tmpl w:val="9FD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92EAD"/>
    <w:multiLevelType w:val="hybridMultilevel"/>
    <w:tmpl w:val="D34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61294"/>
    <w:multiLevelType w:val="hybridMultilevel"/>
    <w:tmpl w:val="E1E6B8D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5A890305"/>
    <w:multiLevelType w:val="hybridMultilevel"/>
    <w:tmpl w:val="EF6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E1322"/>
    <w:multiLevelType w:val="hybridMultilevel"/>
    <w:tmpl w:val="5EEE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179A0"/>
    <w:multiLevelType w:val="hybridMultilevel"/>
    <w:tmpl w:val="90B4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01CE8"/>
    <w:multiLevelType w:val="hybridMultilevel"/>
    <w:tmpl w:val="7856F422"/>
    <w:lvl w:ilvl="0" w:tplc="48FEC2EC">
      <w:start w:val="1"/>
      <w:numFmt w:val="upperLetter"/>
      <w:lvlText w:val="(%1)"/>
      <w:lvlJc w:val="left"/>
      <w:pPr>
        <w:ind w:left="750" w:hanging="39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24"/>
    <w:rsid w:val="000766AE"/>
    <w:rsid w:val="00092B51"/>
    <w:rsid w:val="000E01B0"/>
    <w:rsid w:val="00114480"/>
    <w:rsid w:val="001266CA"/>
    <w:rsid w:val="00140D17"/>
    <w:rsid w:val="001543C8"/>
    <w:rsid w:val="00170FC5"/>
    <w:rsid w:val="0017639F"/>
    <w:rsid w:val="00184B24"/>
    <w:rsid w:val="00186BF5"/>
    <w:rsid w:val="00195854"/>
    <w:rsid w:val="00197302"/>
    <w:rsid w:val="001B28AA"/>
    <w:rsid w:val="001D0EFB"/>
    <w:rsid w:val="001F28B0"/>
    <w:rsid w:val="002042EE"/>
    <w:rsid w:val="0020522B"/>
    <w:rsid w:val="00232167"/>
    <w:rsid w:val="0023257A"/>
    <w:rsid w:val="002338F4"/>
    <w:rsid w:val="0025633E"/>
    <w:rsid w:val="002A6D9F"/>
    <w:rsid w:val="002B31E7"/>
    <w:rsid w:val="002D680C"/>
    <w:rsid w:val="002F64A4"/>
    <w:rsid w:val="00315EE3"/>
    <w:rsid w:val="00341924"/>
    <w:rsid w:val="00346C03"/>
    <w:rsid w:val="0037796A"/>
    <w:rsid w:val="003B255C"/>
    <w:rsid w:val="003C0CF4"/>
    <w:rsid w:val="003D2E40"/>
    <w:rsid w:val="003E4380"/>
    <w:rsid w:val="004046D0"/>
    <w:rsid w:val="00457554"/>
    <w:rsid w:val="004843B4"/>
    <w:rsid w:val="00493C97"/>
    <w:rsid w:val="004A42E8"/>
    <w:rsid w:val="004A527F"/>
    <w:rsid w:val="004B1126"/>
    <w:rsid w:val="004B1E90"/>
    <w:rsid w:val="004E33DA"/>
    <w:rsid w:val="004E392B"/>
    <w:rsid w:val="0050069A"/>
    <w:rsid w:val="00534766"/>
    <w:rsid w:val="005512FF"/>
    <w:rsid w:val="00551E11"/>
    <w:rsid w:val="005525B3"/>
    <w:rsid w:val="00562BE7"/>
    <w:rsid w:val="00582F14"/>
    <w:rsid w:val="005B78CD"/>
    <w:rsid w:val="005F0DB6"/>
    <w:rsid w:val="00600393"/>
    <w:rsid w:val="006162A1"/>
    <w:rsid w:val="00621174"/>
    <w:rsid w:val="00635897"/>
    <w:rsid w:val="0063735A"/>
    <w:rsid w:val="00655A67"/>
    <w:rsid w:val="006613AA"/>
    <w:rsid w:val="00686BFE"/>
    <w:rsid w:val="006C23A7"/>
    <w:rsid w:val="006F46E0"/>
    <w:rsid w:val="00700B38"/>
    <w:rsid w:val="00724B07"/>
    <w:rsid w:val="00736D6F"/>
    <w:rsid w:val="00745835"/>
    <w:rsid w:val="00770F6F"/>
    <w:rsid w:val="007760C1"/>
    <w:rsid w:val="00790C8C"/>
    <w:rsid w:val="00796C5A"/>
    <w:rsid w:val="007C67D8"/>
    <w:rsid w:val="00880ABF"/>
    <w:rsid w:val="00932AF8"/>
    <w:rsid w:val="009412F5"/>
    <w:rsid w:val="009572CE"/>
    <w:rsid w:val="009A2E4D"/>
    <w:rsid w:val="009C1EB6"/>
    <w:rsid w:val="00A03C00"/>
    <w:rsid w:val="00A256FE"/>
    <w:rsid w:val="00A41CFE"/>
    <w:rsid w:val="00A4276F"/>
    <w:rsid w:val="00A53952"/>
    <w:rsid w:val="00A835D9"/>
    <w:rsid w:val="00A87D0F"/>
    <w:rsid w:val="00AA7349"/>
    <w:rsid w:val="00AB63C3"/>
    <w:rsid w:val="00AD0E2C"/>
    <w:rsid w:val="00B0044E"/>
    <w:rsid w:val="00B43618"/>
    <w:rsid w:val="00BC5E1E"/>
    <w:rsid w:val="00C34D2F"/>
    <w:rsid w:val="00C3529C"/>
    <w:rsid w:val="00C35E3C"/>
    <w:rsid w:val="00C40B0E"/>
    <w:rsid w:val="00CE3F64"/>
    <w:rsid w:val="00D04FE3"/>
    <w:rsid w:val="00D1219B"/>
    <w:rsid w:val="00D24C20"/>
    <w:rsid w:val="00D354D3"/>
    <w:rsid w:val="00D46D9D"/>
    <w:rsid w:val="00D64EBF"/>
    <w:rsid w:val="00D80062"/>
    <w:rsid w:val="00DA2A6B"/>
    <w:rsid w:val="00DB3D71"/>
    <w:rsid w:val="00DB3EF9"/>
    <w:rsid w:val="00DC2905"/>
    <w:rsid w:val="00DD3FBF"/>
    <w:rsid w:val="00E06064"/>
    <w:rsid w:val="00E372A8"/>
    <w:rsid w:val="00EA6D8E"/>
    <w:rsid w:val="00EC4237"/>
    <w:rsid w:val="00F42AA2"/>
    <w:rsid w:val="00F8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8A428C"/>
  <w14:defaultImageDpi w14:val="300"/>
  <w15:docId w15:val="{51FFC56B-B23F-432B-8640-B34397B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B24"/>
    <w:pPr>
      <w:tabs>
        <w:tab w:val="center" w:pos="4320"/>
        <w:tab w:val="right" w:pos="8640"/>
      </w:tabs>
    </w:pPr>
  </w:style>
  <w:style w:type="character" w:customStyle="1" w:styleId="HeaderChar">
    <w:name w:val="Header Char"/>
    <w:basedOn w:val="DefaultParagraphFont"/>
    <w:link w:val="Header"/>
    <w:uiPriority w:val="99"/>
    <w:rsid w:val="00184B24"/>
    <w:rPr>
      <w:sz w:val="24"/>
      <w:szCs w:val="24"/>
      <w:lang w:eastAsia="en-US"/>
    </w:rPr>
  </w:style>
  <w:style w:type="paragraph" w:styleId="Footer">
    <w:name w:val="footer"/>
    <w:basedOn w:val="Normal"/>
    <w:link w:val="FooterChar"/>
    <w:uiPriority w:val="99"/>
    <w:unhideWhenUsed/>
    <w:rsid w:val="00184B24"/>
    <w:pPr>
      <w:tabs>
        <w:tab w:val="center" w:pos="4320"/>
        <w:tab w:val="right" w:pos="8640"/>
      </w:tabs>
    </w:pPr>
  </w:style>
  <w:style w:type="character" w:customStyle="1" w:styleId="FooterChar">
    <w:name w:val="Footer Char"/>
    <w:basedOn w:val="DefaultParagraphFont"/>
    <w:link w:val="Footer"/>
    <w:uiPriority w:val="99"/>
    <w:rsid w:val="00184B24"/>
    <w:rPr>
      <w:sz w:val="24"/>
      <w:szCs w:val="24"/>
      <w:lang w:eastAsia="en-US"/>
    </w:rPr>
  </w:style>
  <w:style w:type="paragraph" w:styleId="BalloonText">
    <w:name w:val="Balloon Text"/>
    <w:basedOn w:val="Normal"/>
    <w:link w:val="BalloonTextChar"/>
    <w:uiPriority w:val="99"/>
    <w:semiHidden/>
    <w:unhideWhenUsed/>
    <w:rsid w:val="00184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B24"/>
    <w:rPr>
      <w:rFonts w:ascii="Lucida Grande" w:hAnsi="Lucida Grande" w:cs="Lucida Grande"/>
      <w:sz w:val="18"/>
      <w:szCs w:val="18"/>
      <w:lang w:eastAsia="en-US"/>
    </w:rPr>
  </w:style>
  <w:style w:type="paragraph" w:styleId="ListParagraph">
    <w:name w:val="List Paragraph"/>
    <w:basedOn w:val="Normal"/>
    <w:uiPriority w:val="34"/>
    <w:qFormat/>
    <w:rsid w:val="009412F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412F5"/>
    <w:rPr>
      <w:color w:val="0000FF" w:themeColor="hyperlink"/>
      <w:u w:val="single"/>
    </w:rPr>
  </w:style>
  <w:style w:type="character" w:styleId="Strong">
    <w:name w:val="Strong"/>
    <w:basedOn w:val="DefaultParagraphFont"/>
    <w:uiPriority w:val="22"/>
    <w:qFormat/>
    <w:rsid w:val="00C34D2F"/>
    <w:rPr>
      <w:b/>
      <w:bCs/>
    </w:rPr>
  </w:style>
  <w:style w:type="character" w:customStyle="1" w:styleId="filesize">
    <w:name w:val="filesize"/>
    <w:basedOn w:val="DefaultParagraphFont"/>
    <w:rsid w:val="00C34D2F"/>
  </w:style>
  <w:style w:type="character" w:styleId="CommentReference">
    <w:name w:val="annotation reference"/>
    <w:basedOn w:val="DefaultParagraphFont"/>
    <w:uiPriority w:val="99"/>
    <w:semiHidden/>
    <w:unhideWhenUsed/>
    <w:rsid w:val="002A6D9F"/>
    <w:rPr>
      <w:sz w:val="16"/>
      <w:szCs w:val="16"/>
    </w:rPr>
  </w:style>
  <w:style w:type="paragraph" w:styleId="CommentText">
    <w:name w:val="annotation text"/>
    <w:basedOn w:val="Normal"/>
    <w:link w:val="CommentTextChar"/>
    <w:uiPriority w:val="99"/>
    <w:semiHidden/>
    <w:unhideWhenUsed/>
    <w:rsid w:val="002A6D9F"/>
    <w:rPr>
      <w:sz w:val="20"/>
      <w:szCs w:val="20"/>
    </w:rPr>
  </w:style>
  <w:style w:type="character" w:customStyle="1" w:styleId="CommentTextChar">
    <w:name w:val="Comment Text Char"/>
    <w:basedOn w:val="DefaultParagraphFont"/>
    <w:link w:val="CommentText"/>
    <w:uiPriority w:val="99"/>
    <w:semiHidden/>
    <w:rsid w:val="002A6D9F"/>
    <w:rPr>
      <w:lang w:eastAsia="en-US"/>
    </w:rPr>
  </w:style>
  <w:style w:type="paragraph" w:styleId="CommentSubject">
    <w:name w:val="annotation subject"/>
    <w:basedOn w:val="CommentText"/>
    <w:next w:val="CommentText"/>
    <w:link w:val="CommentSubjectChar"/>
    <w:uiPriority w:val="99"/>
    <w:semiHidden/>
    <w:unhideWhenUsed/>
    <w:rsid w:val="002A6D9F"/>
    <w:rPr>
      <w:b/>
      <w:bCs/>
    </w:rPr>
  </w:style>
  <w:style w:type="character" w:customStyle="1" w:styleId="CommentSubjectChar">
    <w:name w:val="Comment Subject Char"/>
    <w:basedOn w:val="CommentTextChar"/>
    <w:link w:val="CommentSubject"/>
    <w:uiPriority w:val="99"/>
    <w:semiHidden/>
    <w:rsid w:val="002A6D9F"/>
    <w:rPr>
      <w:b/>
      <w:bCs/>
      <w:lang w:eastAsia="en-US"/>
    </w:rPr>
  </w:style>
  <w:style w:type="paragraph" w:styleId="Revision">
    <w:name w:val="Revision"/>
    <w:hidden/>
    <w:uiPriority w:val="99"/>
    <w:semiHidden/>
    <w:rsid w:val="0034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iterrorismunit@ag.gov.tt" TargetMode="External"/><Relationship Id="rId5" Type="http://schemas.openxmlformats.org/officeDocument/2006/relationships/footnotes" Target="footnotes.xml"/><Relationship Id="rId10" Type="http://schemas.openxmlformats.org/officeDocument/2006/relationships/hyperlink" Target="https://www.un.org/securitycouncil/sanctions/delisting" TargetMode="External"/><Relationship Id="rId4" Type="http://schemas.openxmlformats.org/officeDocument/2006/relationships/webSettings" Target="webSettings.xml"/><Relationship Id="rId9" Type="http://schemas.openxmlformats.org/officeDocument/2006/relationships/hyperlink" Target="https://www.un.org/securitycouncil/ombudsperson"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8882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Legal Affairs</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Cristie-Ann Tajudeen</dc:creator>
  <cp:keywords/>
  <dc:description/>
  <cp:lastModifiedBy>Casandra Seetahal</cp:lastModifiedBy>
  <cp:revision>2</cp:revision>
  <cp:lastPrinted>2015-10-02T17:25:00Z</cp:lastPrinted>
  <dcterms:created xsi:type="dcterms:W3CDTF">2019-06-13T14:35:00Z</dcterms:created>
  <dcterms:modified xsi:type="dcterms:W3CDTF">2019-06-13T14:35:00Z</dcterms:modified>
</cp:coreProperties>
</file>